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方正小标宋简体" w:hAnsi="黑体" w:eastAsia="方正小标宋简体" w:cs="方正小标宋简体"/>
          <w:sz w:val="44"/>
          <w:szCs w:val="44"/>
        </w:rPr>
      </w:pPr>
    </w:p>
    <w:p>
      <w:pPr>
        <w:spacing w:line="600" w:lineRule="exact"/>
        <w:jc w:val="center"/>
        <w:rPr>
          <w:rFonts w:hint="eastAsia" w:ascii="仿宋_GB2312" w:hAnsi="仿宋_GB2312" w:eastAsia="仿宋_GB2312" w:cs="仿宋_GB2312"/>
          <w:bCs/>
          <w:sz w:val="32"/>
          <w:szCs w:val="32"/>
          <w:lang w:val="en-US" w:eastAsia="zh-CN"/>
        </w:rPr>
      </w:pPr>
    </w:p>
    <w:p>
      <w:pPr>
        <w:spacing w:line="600" w:lineRule="exact"/>
        <w:jc w:val="center"/>
        <w:rPr>
          <w:rFonts w:hint="eastAsia" w:ascii="仿宋_GB2312" w:hAnsi="仿宋_GB2312" w:eastAsia="仿宋_GB2312" w:cs="仿宋_GB2312"/>
          <w:bCs/>
          <w:sz w:val="32"/>
          <w:szCs w:val="32"/>
          <w:lang w:val="en-US" w:eastAsia="zh-CN"/>
        </w:rPr>
      </w:pPr>
    </w:p>
    <w:p>
      <w:pPr>
        <w:spacing w:line="600" w:lineRule="exact"/>
        <w:jc w:val="center"/>
        <w:rPr>
          <w:rFonts w:hint="eastAsia" w:ascii="仿宋_GB2312" w:hAnsi="仿宋_GB2312" w:eastAsia="仿宋_GB2312" w:cs="仿宋_GB2312"/>
          <w:bCs/>
          <w:sz w:val="32"/>
          <w:szCs w:val="32"/>
          <w:lang w:val="en-US" w:eastAsia="zh-CN"/>
        </w:rPr>
      </w:pPr>
    </w:p>
    <w:p>
      <w:pPr>
        <w:spacing w:line="600" w:lineRule="exact"/>
        <w:jc w:val="center"/>
        <w:rPr>
          <w:rFonts w:hint="eastAsia" w:ascii="仿宋_GB2312" w:hAnsi="仿宋_GB2312" w:eastAsia="仿宋_GB2312" w:cs="仿宋_GB2312"/>
          <w:bCs/>
          <w:sz w:val="32"/>
          <w:szCs w:val="32"/>
          <w:lang w:val="en-US" w:eastAsia="zh-CN"/>
        </w:rPr>
      </w:pPr>
    </w:p>
    <w:p>
      <w:pPr>
        <w:spacing w:line="600" w:lineRule="exact"/>
        <w:jc w:val="center"/>
        <w:rPr>
          <w:rFonts w:hint="eastAsia" w:ascii="仿宋_GB2312" w:hAnsi="仿宋_GB2312" w:eastAsia="仿宋_GB2312" w:cs="仿宋_GB2312"/>
          <w:bCs/>
          <w:sz w:val="32"/>
          <w:szCs w:val="32"/>
          <w:lang w:val="en-US" w:eastAsia="zh-CN"/>
        </w:rPr>
      </w:pPr>
    </w:p>
    <w:p>
      <w:pPr>
        <w:spacing w:line="600" w:lineRule="exact"/>
        <w:jc w:val="center"/>
        <w:rPr>
          <w:rFonts w:hint="eastAsia" w:ascii="仿宋_GB2312" w:hAnsi="仿宋_GB2312" w:eastAsia="仿宋_GB2312" w:cs="仿宋_GB2312"/>
          <w:bCs/>
          <w:sz w:val="32"/>
          <w:szCs w:val="32"/>
          <w:lang w:val="en-US" w:eastAsia="zh-CN"/>
        </w:rPr>
      </w:pPr>
    </w:p>
    <w:p>
      <w:pPr>
        <w:spacing w:line="600" w:lineRule="exact"/>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北环攻坚[2020]2号</w:t>
      </w:r>
    </w:p>
    <w:p>
      <w:pPr>
        <w:spacing w:line="560" w:lineRule="exact"/>
        <w:jc w:val="center"/>
        <w:rPr>
          <w:rStyle w:val="10"/>
          <w:rFonts w:hint="eastAsia" w:ascii="方正小标宋简体" w:hAnsi="黑体" w:eastAsia="方正小标宋简体" w:cs="方正小标宋简体"/>
          <w:sz w:val="44"/>
          <w:szCs w:val="44"/>
        </w:rPr>
      </w:pPr>
    </w:p>
    <w:p>
      <w:pPr>
        <w:jc w:val="both"/>
        <w:rPr>
          <w:rFonts w:hint="eastAsia" w:ascii="方正小标宋简体" w:eastAsia="方正小标宋简体"/>
          <w:sz w:val="44"/>
          <w:szCs w:val="44"/>
        </w:rPr>
      </w:pPr>
      <w:r>
        <w:rPr>
          <w:rFonts w:hint="eastAsia" w:ascii="方正小标宋简体" w:eastAsia="方正小标宋简体"/>
          <w:sz w:val="44"/>
          <w:szCs w:val="44"/>
        </w:rPr>
        <w:t>关于印发北关区2020年</w:t>
      </w:r>
      <w:r>
        <w:rPr>
          <w:rFonts w:hint="eastAsia" w:ascii="方正小标宋简体" w:eastAsia="方正小标宋简体"/>
          <w:sz w:val="44"/>
          <w:szCs w:val="44"/>
          <w:lang w:eastAsia="zh-CN"/>
        </w:rPr>
        <w:t>水</w:t>
      </w:r>
      <w:r>
        <w:rPr>
          <w:rFonts w:hint="eastAsia" w:ascii="方正小标宋简体" w:eastAsia="方正小标宋简体"/>
          <w:sz w:val="44"/>
          <w:szCs w:val="44"/>
        </w:rPr>
        <w:t>污染防治攻坚战</w:t>
      </w: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实施方案的通知</w:t>
      </w:r>
    </w:p>
    <w:p>
      <w:pPr>
        <w:ind w:firstLine="640" w:firstLineChars="200"/>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各办事处、柏庄镇，区直有关部门：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现将《北关区2020年</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污染防治攻坚战实施方案》印发给你们，请结合实际，认真贯彻执行。</w:t>
      </w: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2020年3月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3"/>
      </w:pPr>
    </w:p>
    <w:p>
      <w:pPr>
        <w:spacing w:line="560" w:lineRule="exact"/>
        <w:jc w:val="center"/>
        <w:rPr>
          <w:rStyle w:val="10"/>
          <w:rFonts w:hint="eastAsia" w:ascii="方正小标宋简体" w:hAnsi="黑体" w:eastAsia="方正小标宋简体" w:cs="方正小标宋简体"/>
          <w:sz w:val="44"/>
          <w:szCs w:val="44"/>
        </w:rPr>
      </w:pPr>
    </w:p>
    <w:p>
      <w:pPr>
        <w:spacing w:line="560" w:lineRule="exact"/>
        <w:jc w:val="center"/>
        <w:rPr>
          <w:rStyle w:val="10"/>
          <w:rFonts w:ascii="方正小标宋简体" w:hAnsi="黑体" w:eastAsia="方正小标宋简体"/>
          <w:sz w:val="44"/>
          <w:szCs w:val="44"/>
        </w:rPr>
      </w:pPr>
      <w:r>
        <w:rPr>
          <w:rStyle w:val="10"/>
          <w:rFonts w:hint="eastAsia" w:ascii="方正小标宋简体" w:hAnsi="黑体" w:eastAsia="方正小标宋简体" w:cs="方正小标宋简体"/>
          <w:sz w:val="44"/>
          <w:szCs w:val="44"/>
        </w:rPr>
        <w:t>北关区</w:t>
      </w:r>
      <w:r>
        <w:rPr>
          <w:rStyle w:val="10"/>
          <w:rFonts w:ascii="方正小标宋简体" w:hAnsi="黑体" w:eastAsia="方正小标宋简体" w:cs="方正小标宋简体"/>
          <w:sz w:val="44"/>
          <w:szCs w:val="44"/>
        </w:rPr>
        <w:t>2020</w:t>
      </w:r>
      <w:r>
        <w:rPr>
          <w:rStyle w:val="10"/>
          <w:rFonts w:hint="eastAsia" w:ascii="方正小标宋简体" w:hAnsi="黑体" w:eastAsia="方正小标宋简体" w:cs="方正小标宋简体"/>
          <w:sz w:val="44"/>
          <w:szCs w:val="44"/>
        </w:rPr>
        <w:t>年水污染防治攻坚战实施方案</w:t>
      </w:r>
    </w:p>
    <w:p>
      <w:pPr>
        <w:widowControl w:val="0"/>
        <w:spacing w:line="576" w:lineRule="exact"/>
        <w:ind w:firstLine="640" w:firstLineChars="200"/>
        <w:rPr>
          <w:rFonts w:ascii="仿宋_GB2312" w:eastAsia="仿宋_GB2312" w:cs="仿宋_GB2312"/>
          <w:sz w:val="32"/>
          <w:szCs w:val="32"/>
        </w:rPr>
      </w:pPr>
      <w:r>
        <w:rPr>
          <w:rStyle w:val="10"/>
          <w:rFonts w:ascii="仿宋_GB2312" w:hAnsi="仿宋_GB2312" w:eastAsia="仿宋_GB2312" w:cs="仿宋_GB2312"/>
          <w:sz w:val="32"/>
          <w:szCs w:val="32"/>
        </w:rPr>
        <w:t xml:space="preserve"> </w:t>
      </w:r>
      <w:r>
        <w:rPr>
          <w:rFonts w:ascii="仿宋_GB2312" w:eastAsia="仿宋_GB2312" w:cs="仿宋_GB2312"/>
          <w:sz w:val="32"/>
          <w:szCs w:val="32"/>
        </w:rPr>
        <w:t xml:space="preserve">   </w:t>
      </w:r>
    </w:p>
    <w:p>
      <w:pPr>
        <w:widowControl w:val="0"/>
        <w:spacing w:line="550" w:lineRule="exact"/>
        <w:ind w:firstLine="640" w:firstLineChars="200"/>
        <w:rPr>
          <w:rFonts w:ascii="仿宋_GB2312" w:eastAsia="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年是全面建成小康社会和“十三五”规划的收官之年，是水污染防治行动计划决战决胜之年，现依据《安阳市水污染防治碧水工程行动计划》《安阳市碧水保卫战三年行动计划（</w:t>
      </w:r>
      <w:r>
        <w:rPr>
          <w:rFonts w:ascii="仿宋_GB2312" w:eastAsia="仿宋_GB2312" w:cs="仿宋_GB2312"/>
          <w:sz w:val="32"/>
          <w:szCs w:val="32"/>
        </w:rPr>
        <w:t>2018</w:t>
      </w:r>
      <w:r>
        <w:rPr>
          <w:rFonts w:ascii="仿宋_GB2312" w:eastAsia="仿宋_GB2312"/>
          <w:sz w:val="32"/>
          <w:szCs w:val="32"/>
        </w:rPr>
        <w:t>—</w:t>
      </w:r>
      <w:r>
        <w:rPr>
          <w:rFonts w:ascii="仿宋_GB2312" w:eastAsia="仿宋_GB2312" w:cs="仿宋_GB2312"/>
          <w:sz w:val="32"/>
          <w:szCs w:val="32"/>
        </w:rPr>
        <w:t>2020</w:t>
      </w:r>
      <w:r>
        <w:rPr>
          <w:rFonts w:hint="eastAsia" w:ascii="仿宋_GB2312" w:eastAsia="仿宋_GB2312" w:cs="仿宋_GB2312"/>
          <w:sz w:val="32"/>
          <w:szCs w:val="32"/>
        </w:rPr>
        <w:t>年）》，特制定北关区</w:t>
      </w:r>
      <w:r>
        <w:rPr>
          <w:rFonts w:ascii="仿宋_GB2312" w:eastAsia="仿宋_GB2312" w:cs="仿宋_GB2312"/>
          <w:sz w:val="32"/>
          <w:szCs w:val="32"/>
        </w:rPr>
        <w:t>2020</w:t>
      </w:r>
      <w:r>
        <w:rPr>
          <w:rFonts w:hint="eastAsia" w:ascii="仿宋_GB2312" w:eastAsia="仿宋_GB2312" w:cs="仿宋_GB2312"/>
          <w:sz w:val="32"/>
          <w:szCs w:val="32"/>
        </w:rPr>
        <w:t>年水污染防治攻坚战实施方案如下。</w:t>
      </w:r>
    </w:p>
    <w:p>
      <w:pPr>
        <w:widowControl w:val="0"/>
        <w:spacing w:line="550" w:lineRule="exact"/>
        <w:ind w:firstLine="640" w:firstLineChars="200"/>
        <w:rPr>
          <w:rFonts w:ascii="黑体" w:hAnsi="黑体" w:eastAsia="黑体"/>
          <w:sz w:val="32"/>
          <w:szCs w:val="32"/>
        </w:rPr>
      </w:pPr>
      <w:r>
        <w:rPr>
          <w:rFonts w:hint="eastAsia" w:ascii="黑体" w:hAnsi="黑体" w:eastAsia="黑体" w:cs="黑体"/>
          <w:sz w:val="32"/>
          <w:szCs w:val="32"/>
        </w:rPr>
        <w:t>一、总体要求</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以习近平生态文明思想为指导，深入贯彻党的十九届四中全会、省委十届十次全会精神，以改善水环境质量为核心，以防控水环境风险为底线，坚持方向不变、力度不减，因地制宜、分类施策，上下游、干支流、左右岸统筹谋划，突出精准治污、科学治污、依法治污，不断提升治理水平，促进经济社会高质量发展，坚决打赢碧水保卫战，增强人民群众安全感、获得感、幸福感，为全面建成小康社会奠定坚实基础。</w:t>
      </w:r>
    </w:p>
    <w:p>
      <w:pPr>
        <w:widowControl w:val="0"/>
        <w:spacing w:line="550" w:lineRule="exact"/>
        <w:ind w:firstLine="640" w:firstLineChars="200"/>
        <w:rPr>
          <w:rFonts w:ascii="黑体" w:hAnsi="黑体" w:eastAsia="黑体"/>
          <w:sz w:val="32"/>
          <w:szCs w:val="32"/>
        </w:rPr>
      </w:pPr>
      <w:r>
        <w:rPr>
          <w:rFonts w:hint="eastAsia" w:ascii="黑体" w:hAnsi="黑体" w:eastAsia="黑体" w:cs="黑体"/>
          <w:sz w:val="32"/>
          <w:szCs w:val="32"/>
        </w:rPr>
        <w:t>二、工作目标</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到</w:t>
      </w:r>
      <w:r>
        <w:rPr>
          <w:rFonts w:ascii="仿宋_GB2312" w:eastAsia="仿宋_GB2312" w:cs="仿宋_GB2312"/>
          <w:sz w:val="32"/>
          <w:szCs w:val="32"/>
        </w:rPr>
        <w:t>2020</w:t>
      </w:r>
      <w:r>
        <w:rPr>
          <w:rFonts w:hint="eastAsia" w:ascii="仿宋_GB2312" w:eastAsia="仿宋_GB2312" w:cs="仿宋_GB2312"/>
          <w:sz w:val="32"/>
          <w:szCs w:val="32"/>
        </w:rPr>
        <w:t>年底，全区主要水污染物排放总量大幅减少，消除劣Ⅴ类水质断面。安阳河于曹沟断面达到或优于Ⅲ类水质。万金渠南漳涧断面基本达到水环境功能区限值要求（Ⅴ类</w:t>
      </w:r>
      <w:r>
        <w:rPr>
          <w:rFonts w:ascii="仿宋_GB2312" w:eastAsia="仿宋_GB2312" w:cs="仿宋_GB2312"/>
          <w:sz w:val="32"/>
          <w:szCs w:val="32"/>
        </w:rPr>
        <w:t>)</w:t>
      </w:r>
      <w:r>
        <w:rPr>
          <w:rFonts w:hint="eastAsia" w:ascii="仿宋_GB2312" w:eastAsia="仿宋_GB2312" w:cs="仿宋_GB2312"/>
          <w:sz w:val="32"/>
          <w:szCs w:val="32"/>
        </w:rPr>
        <w:t>，全区建成区全面消除黑臭水体。地下水质量保持稳定。</w:t>
      </w:r>
    </w:p>
    <w:p>
      <w:pPr>
        <w:widowControl w:val="0"/>
        <w:spacing w:line="550" w:lineRule="exact"/>
        <w:ind w:firstLine="640" w:firstLineChars="200"/>
        <w:rPr>
          <w:rFonts w:ascii="黑体" w:hAnsi="黑体" w:eastAsia="黑体"/>
          <w:sz w:val="32"/>
          <w:szCs w:val="32"/>
        </w:rPr>
      </w:pPr>
      <w:r>
        <w:rPr>
          <w:rFonts w:hint="eastAsia" w:ascii="黑体" w:hAnsi="黑体" w:eastAsia="黑体" w:cs="黑体"/>
          <w:sz w:val="32"/>
          <w:szCs w:val="32"/>
        </w:rPr>
        <w:t>三、主要任务</w:t>
      </w:r>
    </w:p>
    <w:p>
      <w:pPr>
        <w:widowControl w:val="0"/>
        <w:spacing w:line="576"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（一）持续打好城市黑臭水体治理攻坚战</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、强力推进城市建成区黑臭水体治理。</w:t>
      </w:r>
      <w:r>
        <w:rPr>
          <w:rFonts w:hint="eastAsia" w:ascii="仿宋_GB2312" w:eastAsia="仿宋_GB2312" w:cs="仿宋_GB2312"/>
          <w:sz w:val="32"/>
          <w:szCs w:val="32"/>
        </w:rPr>
        <w:t>按照“控源截污、内源治理、生态修复、活水保质、长效管理”的技术要求，强力推进城市黑臭水体治理。确保</w:t>
      </w:r>
      <w:r>
        <w:rPr>
          <w:rFonts w:ascii="仿宋_GB2312" w:eastAsia="仿宋_GB2312" w:cs="仿宋_GB2312"/>
          <w:sz w:val="32"/>
          <w:szCs w:val="32"/>
        </w:rPr>
        <w:t>2020</w:t>
      </w:r>
      <w:r>
        <w:rPr>
          <w:rFonts w:hint="eastAsia" w:ascii="仿宋_GB2312" w:eastAsia="仿宋_GB2312" w:cs="仿宋_GB2312"/>
          <w:sz w:val="32"/>
          <w:szCs w:val="32"/>
        </w:rPr>
        <w:t>年底，全区全面消除黑臭水体；各街道办事处、柏庄镇要持续深入排查黑臭水体，发现一处、整治一处；对已完成整治任务的黑臭水体，要建立长效监管机制，巩固提升整治成果，定期开展水质监测，避免出现返黑返臭现象。</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牵头单位：区住房城乡建设局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配合单位：区发展改革委、生态环境分局、农业农村局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、深入推进城镇污水收集和处理设施建设。</w:t>
      </w:r>
      <w:r>
        <w:rPr>
          <w:rFonts w:hint="eastAsia" w:ascii="仿宋_GB2312" w:eastAsia="仿宋_GB2312" w:cs="仿宋_GB2312"/>
          <w:sz w:val="32"/>
          <w:szCs w:val="32"/>
        </w:rPr>
        <w:t>按照城镇污水处理“提质增效”三年行动要求，持续推进污水处理厂建设，新建城镇污水处理厂必须达到或优于一级</w:t>
      </w:r>
      <w:r>
        <w:rPr>
          <w:rFonts w:ascii="仿宋_GB2312" w:eastAsia="仿宋_GB2312" w:cs="仿宋_GB2312"/>
          <w:sz w:val="32"/>
          <w:szCs w:val="32"/>
        </w:rPr>
        <w:t>A</w:t>
      </w:r>
      <w:r>
        <w:rPr>
          <w:rFonts w:hint="eastAsia" w:ascii="仿宋_GB2312" w:eastAsia="仿宋_GB2312" w:cs="仿宋_GB2312"/>
          <w:sz w:val="32"/>
          <w:szCs w:val="32"/>
        </w:rPr>
        <w:t>排放标准，具备条件的县级以上污水处理厂应建设尾水人工湿地。推进污水处理配套管网建设和雨污分流系统改造，城中村、老旧城区和城乡结合部，要尽快实现管网全覆盖；</w:t>
      </w:r>
      <w:r>
        <w:rPr>
          <w:rFonts w:ascii="仿宋_GB2312" w:eastAsia="仿宋_GB2312" w:cs="仿宋_GB2312"/>
          <w:sz w:val="32"/>
          <w:szCs w:val="32"/>
        </w:rPr>
        <w:t>2020</w:t>
      </w:r>
      <w:r>
        <w:rPr>
          <w:rFonts w:hint="eastAsia" w:ascii="仿宋_GB2312" w:eastAsia="仿宋_GB2312" w:cs="仿宋_GB2312"/>
          <w:sz w:val="32"/>
          <w:szCs w:val="32"/>
        </w:rPr>
        <w:t>年底，市区污水处理率分别达到</w:t>
      </w:r>
      <w:r>
        <w:rPr>
          <w:rFonts w:ascii="仿宋_GB2312" w:eastAsia="仿宋_GB2312" w:cs="仿宋_GB2312"/>
          <w:sz w:val="32"/>
          <w:szCs w:val="32"/>
        </w:rPr>
        <w:t>97%</w:t>
      </w:r>
      <w:r>
        <w:rPr>
          <w:rFonts w:hint="eastAsia" w:ascii="仿宋_GB2312" w:eastAsia="仿宋_GB2312" w:cs="仿宋_GB2312"/>
          <w:sz w:val="32"/>
          <w:szCs w:val="32"/>
        </w:rPr>
        <w:t>以上。</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责任单位：区住房城乡建设局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配合单位：区发展改革委、生态环境分局、农业农村局、各街道办事处、柏庄镇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、促进城镇污水再生利用。</w:t>
      </w:r>
      <w:r>
        <w:rPr>
          <w:rFonts w:hint="eastAsia" w:ascii="仿宋_GB2312" w:eastAsia="仿宋_GB2312" w:cs="仿宋_GB2312"/>
          <w:sz w:val="32"/>
          <w:szCs w:val="32"/>
        </w:rPr>
        <w:t>加快推进海绵城市建设，最大限度地减少城市开发建设对生态环境影响到。单体建筑面积超过</w:t>
      </w:r>
      <w:r>
        <w:rPr>
          <w:rFonts w:ascii="仿宋_GB2312" w:eastAsia="仿宋_GB2312" w:cs="仿宋_GB2312"/>
          <w:sz w:val="32"/>
          <w:szCs w:val="32"/>
        </w:rPr>
        <w:t>2</w:t>
      </w:r>
      <w:r>
        <w:rPr>
          <w:rFonts w:hint="eastAsia" w:ascii="仿宋_GB2312" w:eastAsia="仿宋_GB2312" w:cs="仿宋_GB2312"/>
          <w:sz w:val="32"/>
          <w:szCs w:val="32"/>
        </w:rPr>
        <w:t>万平方米的新建公用建筑要建设中水设施。加快城镇污水处理厂中水利用设施建设，优先作为工业生产、城市绿化、道路清扫、车辆冲洗、建筑施工、生态景观用水，提升再生水利用率。</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牵头单位：区住房城乡建设局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配合单位：区发展改革委、生态环境分局、农业农村局、工业和信息化局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、加快城镇污水处理厂污泥安全处置。</w:t>
      </w:r>
      <w:r>
        <w:rPr>
          <w:rFonts w:hint="eastAsia" w:ascii="仿宋_GB2312" w:eastAsia="仿宋_GB2312" w:cs="仿宋_GB2312"/>
          <w:sz w:val="32"/>
          <w:szCs w:val="32"/>
        </w:rPr>
        <w:t>按照“减量化、稳定化、无害化、资源化”要求，加快城镇污水处理厂污泥处理设施建设，力争建成规范化的污泥无害化处理处置设施，取缔非法污泥堆放点，禁止重金属等污染物不达标的污泥进行土地利用。</w:t>
      </w:r>
      <w:r>
        <w:rPr>
          <w:rFonts w:ascii="仿宋_GB2312" w:eastAsia="仿宋_GB2312" w:cs="仿宋_GB2312"/>
          <w:sz w:val="32"/>
          <w:szCs w:val="32"/>
        </w:rPr>
        <w:t>2020</w:t>
      </w:r>
      <w:r>
        <w:rPr>
          <w:rFonts w:hint="eastAsia" w:ascii="仿宋_GB2312" w:eastAsia="仿宋_GB2312" w:cs="仿宋_GB2312"/>
          <w:sz w:val="32"/>
          <w:szCs w:val="32"/>
        </w:rPr>
        <w:t>年底，市区污泥无害化处理率达到</w:t>
      </w:r>
      <w:r>
        <w:rPr>
          <w:rFonts w:ascii="仿宋_GB2312" w:eastAsia="仿宋_GB2312" w:cs="仿宋_GB2312"/>
          <w:sz w:val="32"/>
          <w:szCs w:val="32"/>
        </w:rPr>
        <w:t>95%</w:t>
      </w:r>
      <w:r>
        <w:rPr>
          <w:rFonts w:hint="eastAsia" w:ascii="仿宋_GB2312" w:eastAsia="仿宋_GB2312" w:cs="仿宋_GB2312"/>
          <w:sz w:val="32"/>
          <w:szCs w:val="32"/>
        </w:rPr>
        <w:t>。</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责任单位：区住房城乡建设局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配合单位：区发展改革委、生态环境分局、交通运输局、农业农村局、各街道办事处、柏庄镇</w:t>
      </w:r>
    </w:p>
    <w:p>
      <w:pPr>
        <w:widowControl w:val="0"/>
        <w:spacing w:line="576"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（二）持续打好水源地保护攻坚战</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5</w:t>
      </w:r>
      <w:r>
        <w:rPr>
          <w:rFonts w:hint="eastAsia" w:ascii="仿宋_GB2312" w:eastAsia="仿宋_GB2312" w:cs="仿宋_GB2312"/>
          <w:b/>
          <w:bCs/>
          <w:sz w:val="32"/>
          <w:szCs w:val="32"/>
        </w:rPr>
        <w:t>、巩固饮用水水源地整治成果。</w:t>
      </w:r>
      <w:r>
        <w:rPr>
          <w:rFonts w:hint="eastAsia" w:ascii="仿宋_GB2312" w:eastAsia="仿宋_GB2312" w:cs="仿宋_GB2312"/>
          <w:sz w:val="32"/>
          <w:szCs w:val="32"/>
        </w:rPr>
        <w:t>继续完善水源地规范化建设，健全日常监管机制。开展地表水型集中式饮用水水源保护区内环境问题整治“回头看”工作，发现一处、整治一处，实施动态“清零”，严防死灰复燃。开展集中式饮用水水源地基础环境状况调查评估工作，切实维护饮水安全。</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配合单位：区农业农村局、区住房城乡建设局、交通运输局、自然资源局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6</w:t>
      </w:r>
      <w:r>
        <w:rPr>
          <w:rFonts w:hint="eastAsia" w:ascii="仿宋_GB2312" w:eastAsia="仿宋_GB2312" w:cs="仿宋_GB2312"/>
          <w:b/>
          <w:bCs/>
          <w:sz w:val="32"/>
          <w:szCs w:val="32"/>
        </w:rPr>
        <w:t>、开展饮用水水源地排查整治。</w:t>
      </w:r>
      <w:r>
        <w:rPr>
          <w:rFonts w:hint="eastAsia" w:ascii="仿宋_GB2312" w:eastAsia="仿宋_GB2312" w:cs="仿宋_GB2312"/>
          <w:sz w:val="32"/>
          <w:szCs w:val="32"/>
        </w:rPr>
        <w:t>全面推进各类饮用水水源保护范围（区）的划定及界标警示标识标志的安装工作。组织开展各类饮用水水源保护区内的环境问题整治工作，</w:t>
      </w:r>
      <w:r>
        <w:rPr>
          <w:rFonts w:ascii="仿宋_GB2312" w:eastAsia="仿宋_GB2312" w:cs="仿宋_GB2312"/>
          <w:sz w:val="32"/>
          <w:szCs w:val="32"/>
        </w:rPr>
        <w:t>2020</w:t>
      </w:r>
      <w:r>
        <w:rPr>
          <w:rFonts w:hint="eastAsia" w:ascii="仿宋_GB2312" w:eastAsia="仿宋_GB2312" w:cs="仿宋_GB2312"/>
          <w:sz w:val="32"/>
          <w:szCs w:val="32"/>
        </w:rPr>
        <w:t>年底初见成效。</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配合单位：区住房城乡建设局、交通运输局、农业农村局、自然资源局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（三）持续打好河流清洁行动攻坚战</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7</w:t>
      </w:r>
      <w:r>
        <w:rPr>
          <w:rFonts w:hint="eastAsia" w:ascii="仿宋_GB2312" w:eastAsia="仿宋_GB2312" w:cs="仿宋_GB2312"/>
          <w:b/>
          <w:bCs/>
          <w:sz w:val="32"/>
          <w:szCs w:val="32"/>
        </w:rPr>
        <w:t>、加快河湖综合治理与水生态修复。</w:t>
      </w:r>
      <w:r>
        <w:rPr>
          <w:rFonts w:hint="eastAsia" w:ascii="仿宋_GB2312" w:eastAsia="仿宋_GB2312" w:cs="仿宋_GB2312"/>
          <w:sz w:val="32"/>
          <w:szCs w:val="32"/>
        </w:rPr>
        <w:t>全面落实河长制，持续实施“一河一策”“一渠一策”治理措施，开展水域岸线综合整治。加大水环境治理和水生态修复力度，进一步提升全区水环境质量。</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牵头单位：区农业农</w:t>
      </w:r>
      <w:r>
        <w:rPr>
          <w:rFonts w:hint="eastAsia" w:ascii="仿宋_GB2312" w:eastAsia="仿宋_GB2312" w:cs="仿宋_GB2312"/>
          <w:sz w:val="32"/>
          <w:szCs w:val="32"/>
          <w:lang w:val="en-US" w:eastAsia="zh-CN"/>
        </w:rPr>
        <w:t>村</w:t>
      </w:r>
      <w:bookmarkStart w:id="0" w:name="_GoBack"/>
      <w:bookmarkEnd w:id="0"/>
      <w:r>
        <w:rPr>
          <w:rFonts w:hint="eastAsia" w:ascii="仿宋_GB2312" w:eastAsia="仿宋_GB2312" w:cs="仿宋_GB2312"/>
          <w:sz w:val="32"/>
          <w:szCs w:val="32"/>
        </w:rPr>
        <w:t>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配合单位：自然资源局、生态环境分局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8</w:t>
      </w:r>
      <w:r>
        <w:rPr>
          <w:rFonts w:hint="eastAsia" w:ascii="仿宋_GB2312" w:eastAsia="仿宋_GB2312" w:cs="仿宋_GB2312"/>
          <w:b/>
          <w:bCs/>
          <w:sz w:val="32"/>
          <w:szCs w:val="32"/>
        </w:rPr>
        <w:t>、推动入河排污口综合整治。</w:t>
      </w:r>
      <w:r>
        <w:rPr>
          <w:rFonts w:hint="eastAsia" w:ascii="仿宋_GB2312" w:eastAsia="仿宋_GB2312" w:cs="仿宋_GB2312"/>
          <w:sz w:val="32"/>
          <w:szCs w:val="32"/>
        </w:rPr>
        <w:t>全面深入排查入河排污口，建立入河排污口信息台账，全面落实“查、测、溯、治”四项要求，梳理问题类型，分类提出整治措施，精心组织、精准施治。</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配合单位：区农业农村局、住房城乡建设局、自然资源局、工业和信息化局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9</w:t>
      </w:r>
      <w:r>
        <w:rPr>
          <w:rFonts w:hint="eastAsia" w:ascii="仿宋_GB2312" w:eastAsia="仿宋_GB2312" w:cs="仿宋_GB2312"/>
          <w:b/>
          <w:bCs/>
          <w:sz w:val="32"/>
          <w:szCs w:val="32"/>
        </w:rPr>
        <w:t>、继续开展安阳河水质提升专项整治。</w:t>
      </w:r>
      <w:r>
        <w:rPr>
          <w:rFonts w:hint="eastAsia" w:ascii="仿宋_GB2312" w:eastAsia="仿宋_GB2312" w:cs="仿宋_GB2312"/>
          <w:sz w:val="32"/>
          <w:szCs w:val="32"/>
        </w:rPr>
        <w:t>按照统一规划、统一整治和统一生态修复的要求，继续对安阳河北关区全河段实施水质提升专项整治，确保完成省政府要求</w:t>
      </w:r>
      <w:r>
        <w:rPr>
          <w:rFonts w:ascii="仿宋_GB2312" w:eastAsia="仿宋_GB2312" w:cs="仿宋_GB2312"/>
          <w:sz w:val="32"/>
          <w:szCs w:val="32"/>
        </w:rPr>
        <w:t>2020</w:t>
      </w:r>
      <w:r>
        <w:rPr>
          <w:rFonts w:hint="eastAsia" w:ascii="仿宋_GB2312" w:eastAsia="仿宋_GB2312" w:cs="仿宋_GB2312"/>
          <w:sz w:val="32"/>
          <w:szCs w:val="32"/>
        </w:rPr>
        <w:t>年安阳河于曹沟断面水质达到或优于Ⅲ类。</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牵头单位：区河长办</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责任单位：农业农村局、住房和城乡建设局、生态环境分局、自然资源和规划局、发展改革委、财政局、各街道办事处、柏庄镇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10</w:t>
      </w:r>
      <w:r>
        <w:rPr>
          <w:rFonts w:hint="eastAsia" w:ascii="仿宋_GB2312" w:eastAsia="仿宋_GB2312" w:cs="仿宋_GB2312"/>
          <w:b/>
          <w:bCs/>
          <w:sz w:val="32"/>
          <w:szCs w:val="32"/>
        </w:rPr>
        <w:t>、进一步提升重点区域流域水质。</w:t>
      </w:r>
      <w:r>
        <w:rPr>
          <w:rFonts w:hint="eastAsia" w:ascii="仿宋_GB2312" w:eastAsia="仿宋_GB2312" w:cs="仿宋_GB2312"/>
          <w:sz w:val="32"/>
          <w:szCs w:val="32"/>
        </w:rPr>
        <w:t>红办、灯办、豆办、曙光、彰东要加快实施水质改善措施，加大北万金渠综合治理力度，确保万金渠北干渠南漳涧断面达到或优于</w:t>
      </w:r>
      <w:r>
        <w:rPr>
          <w:rFonts w:ascii="仿宋_GB2312" w:eastAsia="仿宋_GB2312" w:cs="仿宋_GB2312"/>
          <w:sz w:val="32"/>
          <w:szCs w:val="32"/>
        </w:rPr>
        <w:t>V</w:t>
      </w:r>
      <w:r>
        <w:rPr>
          <w:rFonts w:hint="eastAsia" w:ascii="仿宋_GB2312" w:eastAsia="仿宋_GB2312" w:cs="仿宋_GB2312"/>
          <w:sz w:val="32"/>
          <w:szCs w:val="32"/>
        </w:rPr>
        <w:t>类水质。</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牵头单位：区农业农村局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配合单位：区行政执法局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责任单位：各相关街道办事处</w:t>
      </w:r>
    </w:p>
    <w:p>
      <w:pPr>
        <w:widowControl w:val="0"/>
        <w:spacing w:line="576"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（四）持续打好农村污染防治攻坚战</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11</w:t>
      </w:r>
      <w:r>
        <w:rPr>
          <w:rFonts w:hint="eastAsia" w:ascii="仿宋_GB2312" w:eastAsia="仿宋_GB2312" w:cs="仿宋_GB2312"/>
          <w:b/>
          <w:bCs/>
          <w:sz w:val="32"/>
          <w:szCs w:val="32"/>
        </w:rPr>
        <w:t>、持续推进农村环境综合整治。</w:t>
      </w:r>
      <w:r>
        <w:rPr>
          <w:rFonts w:hint="eastAsia" w:ascii="仿宋_GB2312" w:eastAsia="仿宋_GB2312" w:cs="仿宋_GB2312"/>
          <w:sz w:val="32"/>
          <w:szCs w:val="32"/>
        </w:rPr>
        <w:t>在完成规划编制的基础上，各街道办事处、柏庄镇要加快实施农村污水处理设施建设；加大经费保障，确保已建成农村污水处理设施稳定正常运行；农村改厕后的粪污必须得到有效收集处理或利用，坚决防止污染公共水体；根据国家要求实施农村黑臭水体治理。推广农村生活垃圾“户投放、村收集、镇转运、县处理”模式，探索农村生活垃圾治理市场化运营机制。</w:t>
      </w:r>
      <w:r>
        <w:rPr>
          <w:rFonts w:ascii="仿宋_GB2312" w:eastAsia="仿宋_GB2312" w:cs="仿宋_GB2312"/>
          <w:sz w:val="32"/>
          <w:szCs w:val="32"/>
        </w:rPr>
        <w:t>2020</w:t>
      </w:r>
      <w:r>
        <w:rPr>
          <w:rFonts w:hint="eastAsia" w:ascii="仿宋_GB2312" w:eastAsia="仿宋_GB2312" w:cs="仿宋_GB2312"/>
          <w:sz w:val="32"/>
          <w:szCs w:val="32"/>
        </w:rPr>
        <w:t>年底，全区</w:t>
      </w:r>
      <w:r>
        <w:rPr>
          <w:rFonts w:ascii="仿宋_GB2312" w:eastAsia="仿宋_GB2312" w:cs="仿宋_GB2312"/>
          <w:sz w:val="32"/>
          <w:szCs w:val="32"/>
        </w:rPr>
        <w:t>90%</w:t>
      </w:r>
      <w:r>
        <w:rPr>
          <w:rFonts w:hint="eastAsia" w:ascii="仿宋_GB2312" w:eastAsia="仿宋_GB2312" w:cs="仿宋_GB2312"/>
          <w:sz w:val="32"/>
          <w:szCs w:val="32"/>
        </w:rPr>
        <w:t>以上的村庄生活垃圾得到有效治理并通过验收，农村户用无害化卫生厕所普及率达到</w:t>
      </w:r>
      <w:r>
        <w:rPr>
          <w:rFonts w:ascii="仿宋_GB2312" w:eastAsia="仿宋_GB2312" w:cs="仿宋_GB2312"/>
          <w:sz w:val="32"/>
          <w:szCs w:val="32"/>
        </w:rPr>
        <w:t>85%</w:t>
      </w:r>
      <w:r>
        <w:rPr>
          <w:rFonts w:hint="eastAsia" w:ascii="仿宋_GB2312" w:eastAsia="仿宋_GB2312" w:cs="仿宋_GB2312"/>
          <w:sz w:val="32"/>
          <w:szCs w:val="32"/>
        </w:rPr>
        <w:t>左右，农村污水乱排乱放现象得到有效管控。对“十三五”以来完成整治的村庄适时开展“回头看”，发现问题及时整改，确保整治效果。</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牵头单位：区农业农村局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配合单位：区住房城乡建设局、生态环境分局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12</w:t>
      </w:r>
      <w:r>
        <w:rPr>
          <w:rFonts w:hint="eastAsia" w:ascii="仿宋_GB2312" w:eastAsia="仿宋_GB2312" w:cs="仿宋_GB2312"/>
          <w:b/>
          <w:bCs/>
          <w:sz w:val="32"/>
          <w:szCs w:val="32"/>
        </w:rPr>
        <w:t>、加大畜禽养殖污染防治。</w:t>
      </w:r>
      <w:r>
        <w:rPr>
          <w:rFonts w:hint="eastAsia" w:ascii="仿宋_GB2312" w:eastAsia="仿宋_GB2312" w:cs="仿宋_GB2312"/>
          <w:sz w:val="32"/>
          <w:szCs w:val="32"/>
        </w:rPr>
        <w:t>强化畜禽养殖粪污综合治理，规模化畜禽养殖场（小区）要配套建设与养殖规模相适宜的粪便污水防渗防溢流贮存设施，以及粪便污水收集、利用和无害化处理设施；积极引导散养密集区实行畜禽粪便污水分户收集、集中处理利用。</w:t>
      </w:r>
      <w:r>
        <w:rPr>
          <w:rFonts w:ascii="仿宋_GB2312" w:eastAsia="仿宋_GB2312" w:cs="仿宋_GB2312"/>
          <w:sz w:val="32"/>
          <w:szCs w:val="32"/>
        </w:rPr>
        <w:t>2020</w:t>
      </w:r>
      <w:r>
        <w:rPr>
          <w:rFonts w:hint="eastAsia" w:ascii="仿宋_GB2312" w:eastAsia="仿宋_GB2312" w:cs="仿宋_GB2312"/>
          <w:sz w:val="32"/>
          <w:szCs w:val="32"/>
        </w:rPr>
        <w:t>年底，全区规模养殖场粪污处理设施配套率达到</w:t>
      </w:r>
      <w:r>
        <w:rPr>
          <w:rFonts w:ascii="仿宋_GB2312" w:eastAsia="仿宋_GB2312" w:cs="仿宋_GB2312"/>
          <w:sz w:val="32"/>
          <w:szCs w:val="32"/>
        </w:rPr>
        <w:t>95%</w:t>
      </w:r>
      <w:r>
        <w:rPr>
          <w:rFonts w:hint="eastAsia" w:ascii="仿宋_GB2312" w:eastAsia="仿宋_GB2312" w:cs="仿宋_GB2312"/>
          <w:sz w:val="32"/>
          <w:szCs w:val="32"/>
        </w:rPr>
        <w:t>以上，畜禽养殖粪污综合利用率达到</w:t>
      </w:r>
      <w:r>
        <w:rPr>
          <w:rFonts w:ascii="仿宋_GB2312" w:eastAsia="仿宋_GB2312" w:cs="仿宋_GB2312"/>
          <w:sz w:val="32"/>
          <w:szCs w:val="32"/>
        </w:rPr>
        <w:t>75%</w:t>
      </w:r>
      <w:r>
        <w:rPr>
          <w:rFonts w:hint="eastAsia" w:ascii="仿宋_GB2312" w:eastAsia="仿宋_GB2312" w:cs="仿宋_GB2312"/>
          <w:sz w:val="32"/>
          <w:szCs w:val="32"/>
        </w:rPr>
        <w:t>以上。</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牵头单位：区农业农村局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配合单位：区自然资源局、生态环境分局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（五）做好水生态环境管理基础工作</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13</w:t>
      </w:r>
      <w:r>
        <w:rPr>
          <w:rFonts w:hint="eastAsia" w:ascii="仿宋_GB2312" w:eastAsia="仿宋_GB2312" w:cs="仿宋_GB2312"/>
          <w:b/>
          <w:bCs/>
          <w:sz w:val="32"/>
          <w:szCs w:val="32"/>
        </w:rPr>
        <w:t>、完善涉水污染源自动监控体系。</w:t>
      </w:r>
      <w:r>
        <w:rPr>
          <w:rFonts w:hint="eastAsia" w:ascii="仿宋_GB2312" w:eastAsia="仿宋_GB2312" w:cs="仿宋_GB2312"/>
          <w:sz w:val="32"/>
          <w:szCs w:val="32"/>
        </w:rPr>
        <w:t>开展涉水污染源自动监控设施建设情况排查，扩大监控覆盖范围；加强自动在线监控设施运行监管和日常监督检查力度，确保数据真实有效。探索开展涉水污染源污染治理设施运行状态、用电量和进、排水量的动态监控，推进或完善用电监管、视频监控和进、排水计量装置的设置工作。</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配合单位：区工业和信息化局、住房城乡建设局、农业农村局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（六）统筹推动其他各项水污染防治工作</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14</w:t>
      </w:r>
      <w:r>
        <w:rPr>
          <w:rFonts w:hint="eastAsia" w:ascii="仿宋_GB2312" w:eastAsia="仿宋_GB2312" w:cs="仿宋_GB2312"/>
          <w:b/>
          <w:bCs/>
          <w:sz w:val="32"/>
          <w:szCs w:val="32"/>
        </w:rPr>
        <w:t>、加快实施产业结构调整。</w:t>
      </w:r>
      <w:r>
        <w:rPr>
          <w:rFonts w:hint="eastAsia" w:ascii="仿宋_GB2312" w:eastAsia="仿宋_GB2312" w:cs="仿宋_GB2312"/>
          <w:sz w:val="32"/>
          <w:szCs w:val="32"/>
        </w:rPr>
        <w:t>加快淘汰涉水企业落后生产工艺和产能，制定并实施年度落后产能淘汰方案。按计划推进城市建成区内钢铁、有色金属、造纸、印染、原料药制造、化工等污染较重企业的搬迁改造或依法关闭工作。全面开展涉水“散乱污”企业排查整治，淘汰一批、整合一批、提升一批，促进涉水企业产业结构转型升级。</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牵头单位：区工业和信息化局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配合单位：区发展改革委、生态环境分局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15</w:t>
      </w:r>
      <w:r>
        <w:rPr>
          <w:rFonts w:hint="eastAsia" w:ascii="仿宋_GB2312" w:eastAsia="仿宋_GB2312" w:cs="仿宋_GB2312"/>
          <w:b/>
          <w:bCs/>
          <w:sz w:val="32"/>
          <w:szCs w:val="32"/>
        </w:rPr>
        <w:t>、推进企业清洁化生产。</w:t>
      </w:r>
      <w:r>
        <w:rPr>
          <w:rFonts w:hint="eastAsia" w:ascii="仿宋_GB2312" w:eastAsia="仿宋_GB2312" w:cs="仿宋_GB2312"/>
          <w:sz w:val="32"/>
          <w:szCs w:val="32"/>
        </w:rPr>
        <w:t>加大农副食品加工、印染、原料药制造等水污染物排放行业重点企业强制性清洁生产审核力度，全面推进清洁生产改造或清洁化改造，实现节水减排目标。推动规模以上涉水企业，按照国家鼓励发展的清洁生产技术、工艺、设备和产品导向目录，开展自愿性清洁生产审核，提升企业综合竞争力。</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责任单位：区生态环境分局、区工业和信息化局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配合单位：发展改革委、住房城乡建设局、农业农村局、各街道办事处、柏庄镇</w:t>
      </w:r>
    </w:p>
    <w:p>
      <w:pPr>
        <w:widowControl w:val="0"/>
        <w:spacing w:line="576" w:lineRule="exact"/>
        <w:ind w:firstLine="643" w:firstLineChars="200"/>
        <w:rPr>
          <w:rFonts w:ascii="仿宋_GB2312" w:eastAsia="仿宋_GB2312"/>
          <w:sz w:val="32"/>
          <w:szCs w:val="32"/>
        </w:rPr>
      </w:pPr>
      <w:r>
        <w:rPr>
          <w:rFonts w:ascii="仿宋_GB2312" w:eastAsia="仿宋_GB2312" w:cs="仿宋_GB2312"/>
          <w:b/>
          <w:bCs/>
          <w:sz w:val="32"/>
          <w:szCs w:val="32"/>
        </w:rPr>
        <w:t>16</w:t>
      </w:r>
      <w:r>
        <w:rPr>
          <w:rFonts w:hint="eastAsia" w:ascii="仿宋_GB2312" w:eastAsia="仿宋_GB2312" w:cs="仿宋_GB2312"/>
          <w:b/>
          <w:bCs/>
          <w:sz w:val="32"/>
          <w:szCs w:val="32"/>
        </w:rPr>
        <w:t>、加快推进地下水污染防治。</w:t>
      </w:r>
      <w:r>
        <w:rPr>
          <w:rFonts w:hint="eastAsia" w:ascii="仿宋_GB2312" w:eastAsia="仿宋_GB2312" w:cs="仿宋_GB2312"/>
          <w:sz w:val="32"/>
          <w:szCs w:val="32"/>
        </w:rPr>
        <w:t>生态环境部门继续推进集中式地下水型饮用水源补给区等区域周边地下水基础环境状况调查评估；商务部门要完成加油站埋地油罐双层罐更新或防渗池设置；水利部门依法依规推进报废钻井、取水井封井回填。</w:t>
      </w:r>
      <w:r>
        <w:rPr>
          <w:rFonts w:ascii="仿宋_GB2312" w:eastAsia="仿宋_GB2312" w:cs="仿宋_GB2312"/>
          <w:sz w:val="32"/>
          <w:szCs w:val="32"/>
        </w:rPr>
        <w:t>2020</w:t>
      </w:r>
      <w:r>
        <w:rPr>
          <w:rFonts w:hint="eastAsia" w:ascii="仿宋_GB2312" w:eastAsia="仿宋_GB2312" w:cs="仿宋_GB2312"/>
          <w:sz w:val="32"/>
          <w:szCs w:val="32"/>
        </w:rPr>
        <w:t>年底，按照上级要求初步建立全区地下水环境监测体系；地下水质量保持稳定。</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责任单位：区生态环境分局、自然资源局、住房城乡建设局、农业农村局、区工业和信息化局、商务局</w:t>
      </w: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配合单位：各街道办事处、柏庄镇</w:t>
      </w:r>
    </w:p>
    <w:p>
      <w:pPr>
        <w:widowControl w:val="0"/>
        <w:spacing w:line="550" w:lineRule="exact"/>
        <w:ind w:firstLine="643" w:firstLineChars="200"/>
        <w:rPr>
          <w:rFonts w:ascii="仿宋_GB2312" w:eastAsia="仿宋_GB2312"/>
          <w:sz w:val="32"/>
          <w:szCs w:val="32"/>
        </w:rPr>
      </w:pPr>
      <w:r>
        <w:rPr>
          <w:rFonts w:ascii="仿宋_GB2312" w:eastAsia="仿宋_GB2312" w:cs="仿宋_GB2312"/>
          <w:b/>
          <w:bCs/>
          <w:sz w:val="32"/>
          <w:szCs w:val="32"/>
        </w:rPr>
        <w:t>17</w:t>
      </w:r>
      <w:r>
        <w:rPr>
          <w:rFonts w:hint="eastAsia" w:ascii="仿宋_GB2312" w:eastAsia="仿宋_GB2312" w:cs="仿宋_GB2312"/>
          <w:b/>
          <w:bCs/>
          <w:sz w:val="32"/>
          <w:szCs w:val="32"/>
        </w:rPr>
        <w:t>、节约保护水资源。</w:t>
      </w:r>
      <w:r>
        <w:rPr>
          <w:rFonts w:hint="eastAsia" w:ascii="仿宋_GB2312" w:eastAsia="仿宋_GB2312" w:cs="仿宋_GB2312"/>
          <w:sz w:val="32"/>
          <w:szCs w:val="32"/>
        </w:rPr>
        <w:t>严格重点监控用水单位台账监管，完善国家、省、市重点监控用水单位三级名录，加强工业、城镇、农业节水。将年用水量</w:t>
      </w:r>
      <w:r>
        <w:rPr>
          <w:rFonts w:ascii="仿宋_GB2312" w:eastAsia="仿宋_GB2312" w:cs="仿宋_GB2312"/>
          <w:sz w:val="32"/>
          <w:szCs w:val="32"/>
        </w:rPr>
        <w:t>50</w:t>
      </w:r>
      <w:r>
        <w:rPr>
          <w:rFonts w:hint="eastAsia" w:ascii="仿宋_GB2312" w:eastAsia="仿宋_GB2312" w:cs="仿宋_GB2312"/>
          <w:sz w:val="32"/>
          <w:szCs w:val="32"/>
        </w:rPr>
        <w:t>万立方米以上的工业企业、服务业企业和公共机构，大型和</w:t>
      </w:r>
      <w:r>
        <w:rPr>
          <w:rFonts w:ascii="仿宋_GB2312" w:eastAsia="仿宋_GB2312" w:cs="仿宋_GB2312"/>
          <w:sz w:val="32"/>
          <w:szCs w:val="32"/>
        </w:rPr>
        <w:t>5</w:t>
      </w:r>
      <w:r>
        <w:rPr>
          <w:rFonts w:hint="eastAsia" w:ascii="仿宋_GB2312" w:eastAsia="仿宋_GB2312" w:cs="仿宋_GB2312"/>
          <w:sz w:val="32"/>
          <w:szCs w:val="32"/>
        </w:rPr>
        <w:t>万亩以上重点中型灌区纳入名录，建立完善重点监控用水单位管理体系。</w:t>
      </w:r>
      <w:r>
        <w:rPr>
          <w:rFonts w:ascii="仿宋_GB2312" w:eastAsia="仿宋_GB2312" w:cs="仿宋_GB2312"/>
          <w:sz w:val="32"/>
          <w:szCs w:val="32"/>
        </w:rPr>
        <w:t>2020</w:t>
      </w:r>
      <w:r>
        <w:rPr>
          <w:rFonts w:hint="eastAsia" w:ascii="仿宋_GB2312" w:eastAsia="仿宋_GB2312" w:cs="仿宋_GB2312"/>
          <w:sz w:val="32"/>
          <w:szCs w:val="32"/>
        </w:rPr>
        <w:t>年底，全区万元国内生产总值用水量、万元工业增加值用水量比</w:t>
      </w:r>
      <w:r>
        <w:rPr>
          <w:rFonts w:ascii="仿宋_GB2312" w:eastAsia="仿宋_GB2312" w:cs="仿宋_GB2312"/>
          <w:sz w:val="32"/>
          <w:szCs w:val="32"/>
        </w:rPr>
        <w:t>2015</w:t>
      </w:r>
      <w:r>
        <w:rPr>
          <w:rFonts w:hint="eastAsia" w:ascii="仿宋_GB2312" w:eastAsia="仿宋_GB2312" w:cs="仿宋_GB2312"/>
          <w:sz w:val="32"/>
          <w:szCs w:val="32"/>
        </w:rPr>
        <w:t>年分别下降</w:t>
      </w:r>
      <w:r>
        <w:rPr>
          <w:rFonts w:ascii="仿宋_GB2312" w:eastAsia="仿宋_GB2312" w:cs="仿宋_GB2312"/>
          <w:sz w:val="32"/>
          <w:szCs w:val="32"/>
        </w:rPr>
        <w:t>27%</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以上；钢铁、纺织印染、化工、食品发酵等高耗水行业，要强化工业水循环利用，节水达到国内先进定额标准；大型灌区、重点中型灌区续建配套和节水改造任务基本完成，全区节水灌溉面积达到</w:t>
      </w:r>
      <w:r>
        <w:rPr>
          <w:rFonts w:ascii="仿宋_GB2312" w:eastAsia="仿宋_GB2312" w:cs="仿宋_GB2312"/>
          <w:sz w:val="32"/>
          <w:szCs w:val="32"/>
        </w:rPr>
        <w:t>6</w:t>
      </w:r>
      <w:r>
        <w:rPr>
          <w:rFonts w:hint="eastAsia" w:ascii="仿宋_GB2312" w:eastAsia="仿宋_GB2312" w:cs="仿宋_GB2312"/>
          <w:sz w:val="32"/>
          <w:szCs w:val="32"/>
        </w:rPr>
        <w:t>万亩左右，农田灌溉水有效利用系数达到</w:t>
      </w:r>
      <w:r>
        <w:rPr>
          <w:rFonts w:ascii="仿宋_GB2312" w:eastAsia="仿宋_GB2312" w:cs="仿宋_GB2312"/>
          <w:sz w:val="32"/>
          <w:szCs w:val="32"/>
        </w:rPr>
        <w:t>0.677</w:t>
      </w:r>
      <w:r>
        <w:rPr>
          <w:rFonts w:hint="eastAsia" w:ascii="仿宋_GB2312" w:eastAsia="仿宋_GB2312" w:cs="仿宋_GB2312"/>
          <w:sz w:val="32"/>
          <w:szCs w:val="32"/>
        </w:rPr>
        <w:t>以上；全区用水总量力争控制在</w:t>
      </w:r>
      <w:r>
        <w:rPr>
          <w:rFonts w:ascii="仿宋_GB2312" w:eastAsia="仿宋_GB2312" w:cs="仿宋_GB2312"/>
          <w:sz w:val="32"/>
          <w:szCs w:val="32"/>
        </w:rPr>
        <w:t>0.472</w:t>
      </w:r>
      <w:r>
        <w:rPr>
          <w:rFonts w:hint="eastAsia" w:ascii="仿宋_GB2312" w:eastAsia="仿宋_GB2312" w:cs="仿宋_GB2312"/>
          <w:sz w:val="32"/>
          <w:szCs w:val="32"/>
        </w:rPr>
        <w:t>立方米以内。</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牵头单位：区农业农村局</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配合单位：区发展改革委、工业和信息化局、住房城乡建设局、生态环境分局、自然资源局、科技局</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50" w:lineRule="exact"/>
        <w:ind w:firstLine="643" w:firstLineChars="200"/>
        <w:rPr>
          <w:rFonts w:ascii="仿宋_GB2312" w:eastAsia="仿宋_GB2312"/>
          <w:sz w:val="32"/>
          <w:szCs w:val="32"/>
        </w:rPr>
      </w:pPr>
      <w:r>
        <w:rPr>
          <w:rFonts w:ascii="仿宋_GB2312" w:eastAsia="仿宋_GB2312" w:cs="仿宋_GB2312"/>
          <w:b/>
          <w:bCs/>
          <w:sz w:val="32"/>
          <w:szCs w:val="32"/>
        </w:rPr>
        <w:t>18</w:t>
      </w:r>
      <w:r>
        <w:rPr>
          <w:rFonts w:hint="eastAsia" w:ascii="仿宋_GB2312" w:eastAsia="仿宋_GB2312" w:cs="仿宋_GB2312"/>
          <w:b/>
          <w:bCs/>
          <w:sz w:val="32"/>
          <w:szCs w:val="32"/>
        </w:rPr>
        <w:t>、严格环境风险防控。</w:t>
      </w:r>
      <w:r>
        <w:rPr>
          <w:rFonts w:hint="eastAsia" w:ascii="仿宋_GB2312" w:eastAsia="仿宋_GB2312" w:cs="仿宋_GB2312"/>
          <w:sz w:val="32"/>
          <w:szCs w:val="32"/>
        </w:rPr>
        <w:t>持续开展环境安全隐患排查整治，完善突发环境事件应急预案，落实应急防范措施，强化应急演练，防范污染事故发生。要强化信息共享、联防联控，完善闸坝调度机制，避免发生重、特大跨界水污染事故。</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牵头单位：区生态环境分局</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配合单位：区农业农村局、应急局</w:t>
      </w:r>
    </w:p>
    <w:p>
      <w:pPr>
        <w:widowControl w:val="0"/>
        <w:spacing w:line="550" w:lineRule="exact"/>
        <w:ind w:firstLine="640" w:firstLineChars="200"/>
        <w:rPr>
          <w:rFonts w:ascii="仿宋_GB2312" w:eastAsia="仿宋_GB2312"/>
          <w:sz w:val="32"/>
          <w:szCs w:val="32"/>
        </w:rPr>
      </w:pPr>
      <w:r>
        <w:rPr>
          <w:rFonts w:hint="eastAsia" w:ascii="仿宋_GB2312" w:eastAsia="仿宋_GB2312" w:cs="仿宋_GB2312"/>
          <w:sz w:val="32"/>
          <w:szCs w:val="32"/>
        </w:rPr>
        <w:t>责任单位：各街道办事处、柏庄镇</w:t>
      </w:r>
    </w:p>
    <w:p>
      <w:pPr>
        <w:widowControl w:val="0"/>
        <w:spacing w:line="550" w:lineRule="exact"/>
        <w:ind w:firstLine="640" w:firstLineChars="200"/>
        <w:rPr>
          <w:rFonts w:ascii="黑体" w:hAnsi="黑体" w:eastAsia="黑体"/>
          <w:sz w:val="32"/>
          <w:szCs w:val="32"/>
        </w:rPr>
      </w:pPr>
      <w:r>
        <w:rPr>
          <w:rFonts w:hint="eastAsia" w:ascii="黑体" w:hAnsi="黑体" w:eastAsia="黑体" w:cs="黑体"/>
          <w:sz w:val="32"/>
          <w:szCs w:val="32"/>
        </w:rPr>
        <w:t>四、工作要求</w:t>
      </w:r>
    </w:p>
    <w:p>
      <w:pPr>
        <w:widowControl w:val="0"/>
        <w:spacing w:line="550" w:lineRule="exact"/>
        <w:ind w:firstLine="643" w:firstLineChars="200"/>
        <w:rPr>
          <w:rFonts w:ascii="仿宋_GB2312" w:eastAsia="仿宋_GB2312"/>
          <w:sz w:val="32"/>
          <w:szCs w:val="32"/>
        </w:rPr>
      </w:pPr>
      <w:r>
        <w:rPr>
          <w:rFonts w:hint="eastAsia" w:ascii="楷体_GB2312" w:eastAsia="楷体_GB2312" w:cs="楷体_GB2312"/>
          <w:b/>
          <w:bCs/>
          <w:sz w:val="32"/>
          <w:szCs w:val="32"/>
        </w:rPr>
        <w:t>（一）制定实施方案。</w:t>
      </w:r>
      <w:r>
        <w:rPr>
          <w:rFonts w:hint="eastAsia" w:ascii="仿宋_GB2312" w:eastAsia="仿宋_GB2312" w:cs="仿宋_GB2312"/>
          <w:sz w:val="32"/>
          <w:szCs w:val="32"/>
        </w:rPr>
        <w:t>各街道办事处、柏庄镇要结合年度水环境质量改善目标，制定</w:t>
      </w:r>
      <w:r>
        <w:rPr>
          <w:rFonts w:ascii="仿宋_GB2312" w:eastAsia="仿宋_GB2312" w:cs="仿宋_GB2312"/>
          <w:sz w:val="32"/>
          <w:szCs w:val="32"/>
        </w:rPr>
        <w:t>2020</w:t>
      </w:r>
      <w:r>
        <w:rPr>
          <w:rFonts w:hint="eastAsia" w:ascii="仿宋_GB2312" w:eastAsia="仿宋_GB2312" w:cs="仿宋_GB2312"/>
          <w:sz w:val="32"/>
          <w:szCs w:val="32"/>
        </w:rPr>
        <w:t>年水污染防治攻坚战实施方案，进一步明确任务、采取措施、完成时限、责任单位，并组织实施。区直有关部门要依据职责分工，对本部门牵头负责的工作，进一步细化、量化目标任务，制定年度推进方案，督促本部门本系统完成年度目标任务。</w:t>
      </w:r>
    </w:p>
    <w:p>
      <w:pPr>
        <w:widowControl w:val="0"/>
        <w:spacing w:line="550" w:lineRule="exact"/>
        <w:ind w:firstLine="643" w:firstLineChars="200"/>
        <w:rPr>
          <w:rFonts w:ascii="仿宋_GB2312" w:eastAsia="仿宋_GB2312"/>
          <w:sz w:val="32"/>
          <w:szCs w:val="32"/>
        </w:rPr>
      </w:pPr>
      <w:r>
        <w:rPr>
          <w:rFonts w:hint="eastAsia" w:ascii="楷体_GB2312" w:eastAsia="楷体_GB2312" w:cs="楷体_GB2312"/>
          <w:b/>
          <w:bCs/>
          <w:sz w:val="32"/>
          <w:szCs w:val="32"/>
        </w:rPr>
        <w:t>（二）强化执法监管。</w:t>
      </w:r>
      <w:r>
        <w:rPr>
          <w:rFonts w:hint="eastAsia" w:ascii="仿宋_GB2312" w:eastAsia="仿宋_GB2312" w:cs="仿宋_GB2312"/>
          <w:sz w:val="32"/>
          <w:szCs w:val="32"/>
        </w:rPr>
        <w:t>对存在超标、超总量，利用渗井、渗坑、裂隙、溶洞，私设暗管，篡改、伪造监测数据，或者不正常运行水污染防治设施等违法行为的，要依法采取行政处罚、查封扣押、限产停产、停业关闭等措施予以严厉打击。强化环境执法和刑事司法衔接，严惩环境违法犯罪行为，提高环境违法成本。</w:t>
      </w:r>
    </w:p>
    <w:p>
      <w:pPr>
        <w:widowControl w:val="0"/>
        <w:spacing w:line="550" w:lineRule="exact"/>
        <w:ind w:firstLine="643" w:firstLineChars="200"/>
        <w:rPr>
          <w:rFonts w:ascii="仿宋_GB2312" w:eastAsia="仿宋_GB2312"/>
          <w:sz w:val="32"/>
          <w:szCs w:val="32"/>
        </w:rPr>
      </w:pPr>
      <w:r>
        <w:rPr>
          <w:rFonts w:hint="eastAsia" w:ascii="楷体_GB2312" w:eastAsia="楷体_GB2312" w:cs="楷体_GB2312"/>
          <w:b/>
          <w:bCs/>
          <w:sz w:val="32"/>
          <w:szCs w:val="32"/>
        </w:rPr>
        <w:t>（三）加强督查督办。</w:t>
      </w:r>
      <w:r>
        <w:rPr>
          <w:rFonts w:hint="eastAsia" w:ascii="仿宋_GB2312" w:eastAsia="仿宋_GB2312" w:cs="仿宋_GB2312"/>
          <w:sz w:val="32"/>
          <w:szCs w:val="32"/>
        </w:rPr>
        <w:t>区环境污染防治攻坚办将组织对各街道办事处、柏庄镇、区直有关部门水污染防治攻坚工作开展情况，适时进行调度和现场核查督查，对工作不力，完成目标任务滞后，甚至推诿扯皮的，将视情采取致函、曝光、约谈或提请问责等措施，强力推动各项工作任务的落实。</w:t>
      </w:r>
    </w:p>
    <w:p>
      <w:pPr>
        <w:widowControl w:val="0"/>
        <w:spacing w:line="550" w:lineRule="exact"/>
        <w:ind w:firstLine="643" w:firstLineChars="200"/>
        <w:rPr>
          <w:rFonts w:ascii="仿宋_GB2312" w:eastAsia="仿宋_GB2312"/>
          <w:sz w:val="32"/>
          <w:szCs w:val="32"/>
        </w:rPr>
      </w:pPr>
      <w:r>
        <w:rPr>
          <w:rFonts w:hint="eastAsia" w:ascii="楷体_GB2312" w:eastAsia="楷体_GB2312" w:cs="楷体_GB2312"/>
          <w:b/>
          <w:bCs/>
          <w:sz w:val="32"/>
          <w:szCs w:val="32"/>
        </w:rPr>
        <w:t>（四）落实信息调度。</w:t>
      </w:r>
      <w:r>
        <w:rPr>
          <w:rFonts w:hint="eastAsia" w:ascii="仿宋_GB2312" w:eastAsia="仿宋_GB2312" w:cs="仿宋_GB2312"/>
          <w:sz w:val="32"/>
          <w:szCs w:val="32"/>
        </w:rPr>
        <w:t>区环境污染防治攻坚办将进一步完善区污染防治攻坚调度系统，建立重点工作任务管理台账，继续实施周调度和定期通报制度。各街道办事处、柏庄镇、区直有关部门要明确专人负责，切实做到上报信息及时、准确，为决战决胜</w:t>
      </w:r>
      <w:r>
        <w:rPr>
          <w:rFonts w:ascii="仿宋_GB2312" w:eastAsia="仿宋_GB2312" w:cs="仿宋_GB2312"/>
          <w:sz w:val="32"/>
          <w:szCs w:val="32"/>
        </w:rPr>
        <w:t>2020</w:t>
      </w:r>
      <w:r>
        <w:rPr>
          <w:rFonts w:hint="eastAsia" w:ascii="仿宋_GB2312" w:eastAsia="仿宋_GB2312" w:cs="仿宋_GB2312"/>
          <w:sz w:val="32"/>
          <w:szCs w:val="32"/>
        </w:rPr>
        <w:t>年水污染防治攻坚战夯实基础。</w:t>
      </w:r>
    </w:p>
    <w:p>
      <w:pPr>
        <w:widowControl w:val="0"/>
        <w:spacing w:line="576" w:lineRule="exact"/>
        <w:ind w:firstLine="640" w:firstLineChars="200"/>
        <w:rPr>
          <w:rFonts w:ascii="仿宋_GB2312" w:eastAsia="仿宋_GB2312"/>
          <w:sz w:val="32"/>
          <w:szCs w:val="32"/>
        </w:rPr>
      </w:pPr>
    </w:p>
    <w:p>
      <w:pPr>
        <w:widowControl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附表：</w:t>
      </w:r>
      <w:r>
        <w:rPr>
          <w:rFonts w:ascii="仿宋_GB2312" w:eastAsia="仿宋_GB2312" w:cs="仿宋_GB2312"/>
          <w:sz w:val="32"/>
          <w:szCs w:val="32"/>
        </w:rPr>
        <w:t>1.</w:t>
      </w:r>
      <w:r>
        <w:rPr>
          <w:rFonts w:hint="eastAsia" w:ascii="仿宋_GB2312" w:eastAsia="仿宋_GB2312" w:cs="仿宋_GB2312"/>
          <w:sz w:val="32"/>
          <w:szCs w:val="32"/>
        </w:rPr>
        <w:t>北关区</w:t>
      </w:r>
      <w:r>
        <w:rPr>
          <w:rFonts w:ascii="仿宋_GB2312" w:eastAsia="仿宋_GB2312" w:cs="仿宋_GB2312"/>
          <w:sz w:val="32"/>
          <w:szCs w:val="32"/>
        </w:rPr>
        <w:t>2020</w:t>
      </w:r>
      <w:r>
        <w:rPr>
          <w:rFonts w:hint="eastAsia" w:ascii="仿宋_GB2312" w:eastAsia="仿宋_GB2312" w:cs="仿宋_GB2312"/>
          <w:sz w:val="32"/>
          <w:szCs w:val="32"/>
        </w:rPr>
        <w:t>年水环境质量目标（排名）断面清单</w:t>
      </w:r>
    </w:p>
    <w:p>
      <w:pPr>
        <w:widowControl w:val="0"/>
        <w:spacing w:line="576" w:lineRule="exact"/>
        <w:ind w:firstLine="1600" w:firstLineChars="5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北关区</w:t>
      </w:r>
      <w:r>
        <w:rPr>
          <w:rFonts w:ascii="仿宋_GB2312" w:eastAsia="仿宋_GB2312" w:cs="仿宋_GB2312"/>
          <w:sz w:val="32"/>
          <w:szCs w:val="32"/>
        </w:rPr>
        <w:t>2020</w:t>
      </w:r>
      <w:r>
        <w:rPr>
          <w:rFonts w:hint="eastAsia" w:ascii="仿宋_GB2312" w:eastAsia="仿宋_GB2312" w:cs="仿宋_GB2312"/>
          <w:sz w:val="32"/>
          <w:szCs w:val="32"/>
        </w:rPr>
        <w:t>年农村环境综合整治任务清单</w:t>
      </w:r>
    </w:p>
    <w:p>
      <w:pPr>
        <w:widowControl w:val="0"/>
        <w:spacing w:line="576" w:lineRule="exact"/>
        <w:ind w:firstLine="1600" w:firstLineChars="500"/>
        <w:rPr>
          <w:rFonts w:hint="eastAsia"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北关区</w:t>
      </w:r>
      <w:r>
        <w:rPr>
          <w:rFonts w:ascii="仿宋_GB2312" w:eastAsia="仿宋_GB2312" w:cs="仿宋_GB2312"/>
          <w:sz w:val="32"/>
          <w:szCs w:val="32"/>
        </w:rPr>
        <w:t>2020</w:t>
      </w:r>
      <w:r>
        <w:rPr>
          <w:rFonts w:hint="eastAsia" w:ascii="仿宋_GB2312" w:eastAsia="仿宋_GB2312" w:cs="仿宋_GB2312"/>
          <w:sz w:val="32"/>
          <w:szCs w:val="32"/>
        </w:rPr>
        <w:t>年黑臭水体治理任务清单</w:t>
      </w:r>
    </w:p>
    <w:p>
      <w:r>
        <w:rPr>
          <w:rFonts w:hint="eastAsia" w:ascii="仿宋" w:hAnsi="仿宋" w:eastAsia="仿宋" w:cs="仿宋"/>
          <w:sz w:val="28"/>
          <w:szCs w:val="28"/>
        </w:rPr>
        <w:pict>
          <v:line id="直线 7" o:spid="_x0000_s1029" o:spt="20" style="position:absolute;left:0pt;flip:y;margin-left:-18pt;margin-top:0.45pt;height:0.05pt;width:477pt;z-index:251663360;mso-width-relative:page;mso-height-relative:page;" coordsize="21600,21600" o:gfxdata="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tQZF1AAAAAYBAAAPAAAAAAAAAAEA&#10;IAAAACIAAABkcnMvZG93bnJldi54bWxQSwECFAAUAAAACACHTuJAu6Zda9oBAACnAwAADgAAAAAA&#10;AAABACAAAAAjAQAAZHJzL2Uyb0RvYy54bWxQSwUGAAAAAAYABgBZAQAAbwUAAAAA&#10;">
            <v:path arrowok="t"/>
            <v:fill focussize="0,0"/>
            <v:stroke/>
            <v:imagedata o:title=""/>
            <o:lock v:ext="edit"/>
          </v:line>
        </w:pict>
      </w:r>
      <w:r>
        <w:rPr>
          <w:rFonts w:hint="eastAsia" w:ascii="仿宋" w:hAnsi="仿宋" w:eastAsia="仿宋" w:cs="仿宋"/>
          <w:sz w:val="28"/>
          <w:szCs w:val="28"/>
        </w:rPr>
        <w:pict>
          <v:line id="Line 3" o:spid="_x0000_s1030" o:spt="20" style="position:absolute;left:0pt;flip:y;margin-left:-18pt;margin-top:30.6pt;height:0.05pt;width:477pt;z-index:251662336;mso-width-relative:page;mso-height-relative:page;" coordsize="21600,21600" o:gfxdata="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9hxBLXAAAACQEAAA8AAAAAAAAAAQAgAAAAIgAAAGRy&#10;cy9kb3ducmV2LnhtbFBLAQIUABQAAAAIAIdO4kBFHREIzQEAAKUDAAAOAAAAAAAAAAEAIAAAACYB&#10;AABkcnMvZTJvRG9jLnhtbFBLBQYAAAAABgAGAFkBAABlBQAAAAA=&#10;">
            <v:path arrowok="t"/>
            <v:fill focussize="0,0"/>
            <v:stroke/>
            <v:imagedata o:title=""/>
            <o:lock v:ext="edit"/>
          </v:line>
        </w:pict>
      </w:r>
      <w:r>
        <w:rPr>
          <w:rFonts w:hint="eastAsia" w:ascii="仿宋" w:hAnsi="仿宋" w:eastAsia="仿宋" w:cs="仿宋"/>
          <w:sz w:val="28"/>
          <w:szCs w:val="28"/>
          <w:lang w:eastAsia="zh-CN"/>
        </w:rPr>
        <w:t>阳市北关区环境污染防治攻坚战指挥部办公室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_GB2312" w:eastAsia="仿宋_GB2312"/>
          <w:sz w:val="28"/>
          <w:szCs w:val="28"/>
        </w:rPr>
        <w:t>日印发</w:t>
      </w:r>
      <w:r>
        <w:rPr>
          <w:sz w:val="28"/>
          <w:szCs w:val="28"/>
        </w:rPr>
        <w:pict>
          <v:line id="直线 5" o:spid="_x0000_s1031" o:spt="20" style="position:absolute;left:0pt;margin-left:-10.6pt;margin-top:582.25pt;height:0pt;width:440.5pt;z-index:251664384;mso-width-relative:page;mso-height-relative:page;" coordsize="21600,21600" o:gfxdata="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2V5IbYAAAADQEAAA8AAAAAAAAAAQAgAAAA&#10;IgAAAGRycy9kb3ducmV2LnhtbFBLAQIUABQAAAAIAIdO4kB77X+h0gEAAJsDAAAOAAAAAAAAAAEA&#10;IAAAACcBAABkcnMvZTJvRG9jLnhtbFBLBQYAAAAABgAGAFkBAABrBQAAAAA=&#10;">
            <v:path arrowok="t"/>
            <v:fill focussize="0,0"/>
            <v:stroke/>
            <v:imagedata o:title=""/>
            <o:lock v:ext="edit"/>
          </v:line>
        </w:pict>
      </w:r>
    </w:p>
    <w:p>
      <w:pPr>
        <w:spacing w:line="576" w:lineRule="exact"/>
        <w:ind w:firstLine="640" w:firstLineChars="200"/>
        <w:rPr>
          <w:rFonts w:hint="eastAsia" w:ascii="仿宋_GB2312" w:eastAsia="仿宋_GB2312"/>
          <w:sz w:val="32"/>
          <w:szCs w:val="32"/>
        </w:rPr>
      </w:pPr>
    </w:p>
    <w:p>
      <w:pPr>
        <w:pStyle w:val="3"/>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701" w:left="1588" w:header="851" w:footer="992" w:gutter="0"/>
          <w:pgNumType w:fmt="numberInDash"/>
          <w:cols w:space="720" w:num="1"/>
          <w:docGrid w:type="lines" w:linePitch="312" w:charSpace="0"/>
        </w:sectPr>
      </w:pPr>
    </w:p>
    <w:p>
      <w:pPr>
        <w:spacing w:line="560" w:lineRule="exact"/>
        <w:jc w:val="left"/>
        <w:rPr>
          <w:rStyle w:val="10"/>
          <w:rFonts w:ascii="黑体" w:hAnsi="黑体" w:eastAsia="黑体"/>
          <w:sz w:val="32"/>
          <w:szCs w:val="32"/>
        </w:rPr>
      </w:pPr>
      <w:r>
        <w:rPr>
          <w:rStyle w:val="10"/>
          <w:rFonts w:hint="eastAsia" w:ascii="黑体" w:hAnsi="黑体" w:eastAsia="黑体" w:cs="黑体"/>
          <w:sz w:val="32"/>
          <w:szCs w:val="32"/>
        </w:rPr>
        <w:t>附表</w:t>
      </w:r>
      <w:r>
        <w:rPr>
          <w:rStyle w:val="10"/>
          <w:rFonts w:ascii="黑体" w:hAnsi="黑体" w:eastAsia="黑体" w:cs="黑体"/>
          <w:sz w:val="32"/>
          <w:szCs w:val="32"/>
        </w:rPr>
        <w:t>1</w:t>
      </w:r>
    </w:p>
    <w:p>
      <w:pPr>
        <w:spacing w:line="560" w:lineRule="exact"/>
        <w:jc w:val="left"/>
        <w:rPr>
          <w:rStyle w:val="10"/>
          <w:rFonts w:ascii="黑体" w:hAnsi="黑体" w:eastAsia="黑体"/>
          <w:sz w:val="32"/>
          <w:szCs w:val="32"/>
        </w:rPr>
      </w:pPr>
    </w:p>
    <w:p>
      <w:pPr>
        <w:widowControl w:val="0"/>
        <w:spacing w:afterLines="100" w:line="560" w:lineRule="exact"/>
        <w:jc w:val="center"/>
        <w:rPr>
          <w:rStyle w:val="10"/>
          <w:rFonts w:ascii="方正小标宋简体" w:hAnsi="黑体" w:eastAsia="方正小标宋简体"/>
          <w:sz w:val="40"/>
          <w:szCs w:val="40"/>
        </w:rPr>
      </w:pPr>
      <w:r>
        <w:rPr>
          <w:rStyle w:val="10"/>
          <w:rFonts w:hint="eastAsia" w:ascii="方正小标宋简体" w:hAnsi="黑体" w:eastAsia="方正小标宋简体" w:cs="方正小标宋简体"/>
          <w:sz w:val="40"/>
          <w:szCs w:val="40"/>
        </w:rPr>
        <w:t>北关区</w:t>
      </w:r>
      <w:r>
        <w:rPr>
          <w:rStyle w:val="10"/>
          <w:rFonts w:ascii="方正小标宋简体" w:hAnsi="黑体" w:eastAsia="方正小标宋简体" w:cs="方正小标宋简体"/>
          <w:sz w:val="40"/>
          <w:szCs w:val="40"/>
        </w:rPr>
        <w:t>2020</w:t>
      </w:r>
      <w:r>
        <w:rPr>
          <w:rStyle w:val="10"/>
          <w:rFonts w:hint="eastAsia" w:ascii="方正小标宋简体" w:hAnsi="黑体" w:eastAsia="方正小标宋简体" w:cs="方正小标宋简体"/>
          <w:sz w:val="40"/>
          <w:szCs w:val="40"/>
        </w:rPr>
        <w:t>年水环境质量目标（排名）断面清单</w:t>
      </w:r>
    </w:p>
    <w:tbl>
      <w:tblPr>
        <w:tblStyle w:val="6"/>
        <w:tblW w:w="12497" w:type="dxa"/>
        <w:jc w:val="center"/>
        <w:tblLayout w:type="fixed"/>
        <w:tblCellMar>
          <w:top w:w="0" w:type="dxa"/>
          <w:left w:w="0" w:type="dxa"/>
          <w:bottom w:w="0" w:type="dxa"/>
          <w:right w:w="0" w:type="dxa"/>
        </w:tblCellMar>
      </w:tblPr>
      <w:tblGrid>
        <w:gridCol w:w="798"/>
        <w:gridCol w:w="1110"/>
        <w:gridCol w:w="2269"/>
        <w:gridCol w:w="1470"/>
        <w:gridCol w:w="3425"/>
        <w:gridCol w:w="3425"/>
      </w:tblGrid>
      <w:tr>
        <w:tblPrEx>
          <w:tblCellMar>
            <w:top w:w="0" w:type="dxa"/>
            <w:left w:w="0" w:type="dxa"/>
            <w:bottom w:w="0" w:type="dxa"/>
            <w:right w:w="0" w:type="dxa"/>
          </w:tblCellMar>
        </w:tblPrEx>
        <w:trPr>
          <w:trHeight w:val="340" w:hRule="atLeast"/>
          <w:jc w:val="center"/>
        </w:trPr>
        <w:tc>
          <w:tcPr>
            <w:tcW w:w="798"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b/>
                <w:bCs/>
                <w:color w:val="000000"/>
              </w:rPr>
            </w:pPr>
            <w:r>
              <w:rPr>
                <w:rStyle w:val="10"/>
                <w:rFonts w:hint="eastAsia" w:ascii="宋体" w:hAnsi="宋体" w:cs="宋体"/>
                <w:b/>
                <w:bCs/>
                <w:color w:val="000000"/>
              </w:rPr>
              <w:t>序号</w:t>
            </w:r>
          </w:p>
        </w:tc>
        <w:tc>
          <w:tcPr>
            <w:tcW w:w="1110"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b/>
                <w:bCs/>
                <w:color w:val="000000"/>
              </w:rPr>
            </w:pPr>
            <w:r>
              <w:rPr>
                <w:rStyle w:val="10"/>
                <w:rFonts w:hint="eastAsia" w:ascii="宋体" w:hAnsi="宋体" w:cs="宋体"/>
                <w:b/>
                <w:bCs/>
                <w:color w:val="000000"/>
              </w:rPr>
              <w:t>考核辖区</w:t>
            </w:r>
          </w:p>
        </w:tc>
        <w:tc>
          <w:tcPr>
            <w:tcW w:w="2269"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b/>
                <w:bCs/>
                <w:color w:val="000000"/>
              </w:rPr>
            </w:pPr>
            <w:r>
              <w:rPr>
                <w:rStyle w:val="10"/>
                <w:rFonts w:hint="eastAsia" w:ascii="宋体" w:hAnsi="宋体" w:cs="宋体"/>
                <w:b/>
                <w:bCs/>
                <w:color w:val="000000"/>
              </w:rPr>
              <w:t>断面名称</w:t>
            </w:r>
          </w:p>
        </w:tc>
        <w:tc>
          <w:tcPr>
            <w:tcW w:w="1470"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b/>
                <w:bCs/>
                <w:color w:val="000000"/>
              </w:rPr>
            </w:pPr>
            <w:r>
              <w:rPr>
                <w:rStyle w:val="10"/>
                <w:rFonts w:hint="eastAsia" w:ascii="宋体" w:hAnsi="宋体" w:cs="宋体"/>
                <w:b/>
                <w:bCs/>
                <w:color w:val="000000"/>
              </w:rPr>
              <w:t>所在水体</w:t>
            </w:r>
          </w:p>
        </w:tc>
        <w:tc>
          <w:tcPr>
            <w:tcW w:w="3425"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b/>
                <w:bCs/>
                <w:color w:val="000000"/>
              </w:rPr>
            </w:pPr>
            <w:r>
              <w:rPr>
                <w:rStyle w:val="10"/>
                <w:rFonts w:ascii="宋体" w:hAnsi="宋体" w:cs="宋体"/>
                <w:b/>
                <w:bCs/>
                <w:color w:val="000000"/>
              </w:rPr>
              <w:t>2020</w:t>
            </w:r>
            <w:r>
              <w:rPr>
                <w:rStyle w:val="10"/>
                <w:rFonts w:hint="eastAsia" w:ascii="宋体" w:hAnsi="宋体" w:cs="宋体"/>
                <w:b/>
                <w:bCs/>
                <w:color w:val="000000"/>
              </w:rPr>
              <w:t>年度水质目标</w:t>
            </w:r>
          </w:p>
        </w:tc>
        <w:tc>
          <w:tcPr>
            <w:tcW w:w="3425"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b/>
                <w:bCs/>
                <w:color w:val="000000"/>
              </w:rPr>
            </w:pPr>
            <w:r>
              <w:rPr>
                <w:rStyle w:val="10"/>
                <w:rFonts w:hint="eastAsia" w:ascii="宋体" w:hAnsi="宋体" w:cs="宋体"/>
                <w:b/>
                <w:bCs/>
                <w:color w:val="000000"/>
              </w:rPr>
              <w:t>责任单位</w:t>
            </w:r>
          </w:p>
        </w:tc>
      </w:tr>
      <w:tr>
        <w:tblPrEx>
          <w:tblCellMar>
            <w:top w:w="0" w:type="dxa"/>
            <w:left w:w="0" w:type="dxa"/>
            <w:bottom w:w="0" w:type="dxa"/>
            <w:right w:w="0" w:type="dxa"/>
          </w:tblCellMar>
        </w:tblPrEx>
        <w:trPr>
          <w:trHeight w:val="340" w:hRule="atLeast"/>
          <w:jc w:val="center"/>
        </w:trPr>
        <w:tc>
          <w:tcPr>
            <w:tcW w:w="798"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ascii="宋体" w:hAnsi="宋体" w:cs="宋体"/>
                <w:color w:val="000000"/>
              </w:rPr>
              <w:t>1</w:t>
            </w:r>
          </w:p>
        </w:tc>
        <w:tc>
          <w:tcPr>
            <w:tcW w:w="1110" w:type="dxa"/>
            <w:vMerge w:val="restart"/>
            <w:tcBorders>
              <w:top w:val="single" w:color="000000" w:sz="6" w:space="0"/>
              <w:left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北关区</w:t>
            </w:r>
          </w:p>
        </w:tc>
        <w:tc>
          <w:tcPr>
            <w:tcW w:w="2269"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于曹沟</w:t>
            </w:r>
            <w:r>
              <w:rPr>
                <w:rStyle w:val="10"/>
                <w:rFonts w:hint="eastAsia" w:ascii="宋体" w:cs="宋体"/>
              </w:rPr>
              <w:t>★</w:t>
            </w:r>
          </w:p>
        </w:tc>
        <w:tc>
          <w:tcPr>
            <w:tcW w:w="1470"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安阳河</w:t>
            </w:r>
          </w:p>
        </w:tc>
        <w:tc>
          <w:tcPr>
            <w:tcW w:w="3425"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cs="宋体"/>
                <w:color w:val="000000"/>
              </w:rPr>
              <w:t>Ⅲ</w:t>
            </w:r>
            <w:r>
              <w:rPr>
                <w:rStyle w:val="10"/>
                <w:rFonts w:hint="eastAsia" w:ascii="宋体" w:hAnsi="宋体" w:cs="宋体"/>
                <w:color w:val="000000"/>
              </w:rPr>
              <w:t>类</w:t>
            </w:r>
          </w:p>
        </w:tc>
        <w:tc>
          <w:tcPr>
            <w:tcW w:w="3425"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农业农村局、纪委</w:t>
            </w:r>
          </w:p>
        </w:tc>
      </w:tr>
      <w:tr>
        <w:tblPrEx>
          <w:tblCellMar>
            <w:top w:w="0" w:type="dxa"/>
            <w:left w:w="0" w:type="dxa"/>
            <w:bottom w:w="0" w:type="dxa"/>
            <w:right w:w="0" w:type="dxa"/>
          </w:tblCellMar>
        </w:tblPrEx>
        <w:trPr>
          <w:trHeight w:val="340" w:hRule="atLeast"/>
          <w:jc w:val="center"/>
        </w:trPr>
        <w:tc>
          <w:tcPr>
            <w:tcW w:w="798"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ascii="宋体" w:hAnsi="宋体" w:cs="宋体"/>
                <w:color w:val="000000"/>
              </w:rPr>
              <w:t>2</w:t>
            </w:r>
          </w:p>
        </w:tc>
        <w:tc>
          <w:tcPr>
            <w:tcW w:w="1110" w:type="dxa"/>
            <w:vMerge w:val="continue"/>
            <w:tcBorders>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p>
        </w:tc>
        <w:tc>
          <w:tcPr>
            <w:tcW w:w="2269"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南漳涧</w:t>
            </w:r>
          </w:p>
        </w:tc>
        <w:tc>
          <w:tcPr>
            <w:tcW w:w="1470"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万金北干渠</w:t>
            </w:r>
          </w:p>
        </w:tc>
        <w:tc>
          <w:tcPr>
            <w:tcW w:w="3425"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cs="宋体"/>
                <w:color w:val="000000"/>
              </w:rPr>
              <w:t>Ⅴ</w:t>
            </w:r>
            <w:r>
              <w:rPr>
                <w:rStyle w:val="10"/>
                <w:rFonts w:hint="eastAsia" w:ascii="宋体" w:hAnsi="宋体" w:cs="宋体"/>
                <w:color w:val="000000"/>
              </w:rPr>
              <w:t>类</w:t>
            </w:r>
          </w:p>
        </w:tc>
        <w:tc>
          <w:tcPr>
            <w:tcW w:w="3425" w:type="dxa"/>
            <w:tcBorders>
              <w:top w:val="single" w:color="000000" w:sz="6" w:space="0"/>
              <w:left w:val="single" w:color="000000" w:sz="6" w:space="0"/>
              <w:bottom w:val="single" w:color="000000" w:sz="6" w:space="0"/>
              <w:right w:val="single" w:color="000000" w:sz="6" w:space="0"/>
            </w:tcBorders>
            <w:noWrap/>
            <w:vAlign w:val="center"/>
          </w:tcPr>
          <w:p>
            <w:pPr>
              <w:spacing w:line="260" w:lineRule="exact"/>
              <w:jc w:val="center"/>
              <w:rPr>
                <w:rStyle w:val="10"/>
                <w:rFonts w:ascii="宋体"/>
                <w:color w:val="000000"/>
              </w:rPr>
            </w:pPr>
            <w:r>
              <w:rPr>
                <w:rStyle w:val="10"/>
                <w:rFonts w:hint="eastAsia" w:ascii="宋体" w:hAnsi="宋体" w:cs="宋体"/>
                <w:color w:val="000000"/>
              </w:rPr>
              <w:t>城管局</w:t>
            </w:r>
          </w:p>
        </w:tc>
      </w:tr>
    </w:tbl>
    <w:p>
      <w:pPr>
        <w:spacing w:line="560" w:lineRule="exact"/>
        <w:ind w:firstLine="720" w:firstLineChars="300"/>
        <w:jc w:val="left"/>
        <w:rPr>
          <w:rStyle w:val="10"/>
          <w:rFonts w:ascii="宋体"/>
          <w:sz w:val="24"/>
          <w:szCs w:val="24"/>
        </w:rPr>
      </w:pPr>
      <w:r>
        <w:rPr>
          <w:rStyle w:val="10"/>
          <w:rFonts w:hint="eastAsia" w:ascii="宋体" w:hAnsi="宋体" w:cs="宋体"/>
          <w:sz w:val="24"/>
          <w:szCs w:val="24"/>
        </w:rPr>
        <w:t>备注：标注</w:t>
      </w:r>
      <w:r>
        <w:rPr>
          <w:rStyle w:val="10"/>
          <w:rFonts w:hint="eastAsia" w:ascii="宋体" w:cs="宋体"/>
          <w:sz w:val="24"/>
          <w:szCs w:val="24"/>
        </w:rPr>
        <w:t>★</w:t>
      </w:r>
      <w:r>
        <w:rPr>
          <w:rStyle w:val="10"/>
          <w:rFonts w:hint="eastAsia" w:ascii="宋体" w:hAnsi="宋体" w:cs="宋体"/>
          <w:sz w:val="24"/>
          <w:szCs w:val="24"/>
        </w:rPr>
        <w:t>的断面为市政府考核断面。</w:t>
      </w:r>
    </w:p>
    <w:p>
      <w:pPr>
        <w:spacing w:line="560" w:lineRule="exact"/>
        <w:jc w:val="left"/>
        <w:rPr>
          <w:rStyle w:val="10"/>
          <w:rFonts w:ascii="宋体"/>
          <w:sz w:val="24"/>
          <w:szCs w:val="24"/>
        </w:rPr>
      </w:pPr>
    </w:p>
    <w:p>
      <w:pPr>
        <w:spacing w:line="560" w:lineRule="exact"/>
        <w:jc w:val="left"/>
        <w:rPr>
          <w:rStyle w:val="10"/>
          <w:rFonts w:ascii="宋体"/>
          <w:sz w:val="24"/>
          <w:szCs w:val="24"/>
        </w:rPr>
      </w:pPr>
    </w:p>
    <w:p>
      <w:pPr>
        <w:spacing w:line="560" w:lineRule="exact"/>
        <w:jc w:val="left"/>
        <w:rPr>
          <w:rStyle w:val="10"/>
          <w:rFonts w:ascii="宋体"/>
          <w:sz w:val="24"/>
          <w:szCs w:val="24"/>
        </w:rPr>
      </w:pPr>
    </w:p>
    <w:p>
      <w:pPr>
        <w:spacing w:line="560" w:lineRule="exact"/>
        <w:jc w:val="left"/>
        <w:rPr>
          <w:rStyle w:val="10"/>
          <w:rFonts w:ascii="宋体"/>
          <w:sz w:val="24"/>
          <w:szCs w:val="24"/>
        </w:rPr>
      </w:pPr>
    </w:p>
    <w:p>
      <w:pPr>
        <w:spacing w:line="560" w:lineRule="exact"/>
        <w:jc w:val="left"/>
        <w:rPr>
          <w:rStyle w:val="10"/>
          <w:rFonts w:ascii="宋体"/>
          <w:sz w:val="24"/>
          <w:szCs w:val="24"/>
        </w:rPr>
      </w:pPr>
      <w:r>
        <w:pict>
          <v:shape id="_x0000_s1026" o:spid="_x0000_s1026" o:spt="202" type="#_x0000_t202" style="position:absolute;left:0pt;margin-left:-41.05pt;margin-top:151.35pt;height:51.6pt;width:45pt;z-index:-251657216;mso-width-relative:page;mso-height-relative:page;" stroked="f" coordsize="21600,21600">
            <v:path/>
            <v:fill focussize="0,0"/>
            <v:stroke on="f" joinstyle="miter"/>
            <v:imagedata o:title=""/>
            <o:lock v:ext="edit"/>
            <v:textbox style="layout-flow:vertical-ideographic;">
              <w:txbxContent>
                <w:p>
                  <w:pPr>
                    <w:rPr>
                      <w:rFonts w:ascii="仿宋_GB2312" w:eastAsia="仿宋_GB2312" w:cs="仿宋_GB2312"/>
                      <w:sz w:val="28"/>
                      <w:szCs w:val="28"/>
                    </w:rPr>
                  </w:pPr>
                  <w:r>
                    <w:rPr>
                      <w:rFonts w:ascii="仿宋_GB2312" w:eastAsia="仿宋_GB2312" w:cs="仿宋_GB2312"/>
                      <w:sz w:val="28"/>
                      <w:szCs w:val="28"/>
                    </w:rPr>
                    <w:t>- 11</w:t>
                  </w:r>
                </w:p>
              </w:txbxContent>
            </v:textbox>
          </v:shape>
        </w:pict>
      </w:r>
    </w:p>
    <w:p>
      <w:pPr>
        <w:spacing w:line="560" w:lineRule="exact"/>
        <w:jc w:val="left"/>
        <w:rPr>
          <w:rStyle w:val="10"/>
          <w:rFonts w:ascii="宋体"/>
          <w:sz w:val="24"/>
          <w:szCs w:val="24"/>
        </w:rPr>
        <w:sectPr>
          <w:footerReference r:id="rId9" w:type="default"/>
          <w:pgSz w:w="16838" w:h="11906" w:orient="landscape"/>
          <w:pgMar w:top="1361" w:right="1418" w:bottom="1361" w:left="1361" w:header="851" w:footer="992" w:gutter="0"/>
          <w:cols w:space="720" w:num="1"/>
          <w:docGrid w:type="lines" w:linePitch="312" w:charSpace="0"/>
        </w:sectPr>
      </w:pPr>
    </w:p>
    <w:p>
      <w:pPr>
        <w:spacing w:line="560" w:lineRule="exact"/>
        <w:jc w:val="left"/>
        <w:rPr>
          <w:rFonts w:ascii="黑体" w:hAnsi="黑体" w:eastAsia="黑体"/>
          <w:sz w:val="44"/>
          <w:szCs w:val="44"/>
        </w:rPr>
      </w:pPr>
      <w:r>
        <w:pict>
          <v:shape id="_x0000_s1027" o:spid="_x0000_s1027" o:spt="202" type="#_x0000_t202" style="position:absolute;left:0pt;margin-left:-41.05pt;margin-top:-32.05pt;height:63pt;width:36pt;z-index:251660288;mso-width-relative:page;mso-height-relative:page;" stroked="f" coordsize="21600,21600">
            <v:path/>
            <v:fill focussize="0,0"/>
            <v:stroke on="f" joinstyle="miter"/>
            <v:imagedata o:title=""/>
            <o:lock v:ext="edit"/>
            <v:textbox style="layout-flow:vertical-ideographic;">
              <w:txbxContent>
                <w:p>
                  <w:pPr>
                    <w:rPr>
                      <w:rFonts w:ascii="仿宋_GB2312" w:eastAsia="仿宋_GB2312" w:cs="仿宋_GB2312"/>
                      <w:sz w:val="28"/>
                      <w:szCs w:val="28"/>
                    </w:rPr>
                  </w:pPr>
                  <w:r>
                    <w:rPr>
                      <w:rFonts w:ascii="仿宋_GB2312" w:eastAsia="仿宋_GB2312" w:cs="仿宋_GB2312"/>
                      <w:sz w:val="28"/>
                      <w:szCs w:val="28"/>
                    </w:rPr>
                    <w:t>- 12 -</w:t>
                  </w:r>
                </w:p>
              </w:txbxContent>
            </v:textbox>
          </v:shape>
        </w:pict>
      </w:r>
      <w:r>
        <w:rPr>
          <w:rFonts w:hint="eastAsia" w:ascii="黑体" w:hAnsi="黑体" w:eastAsia="黑体" w:cs="黑体"/>
          <w:sz w:val="32"/>
          <w:szCs w:val="32"/>
        </w:rPr>
        <w:t>附表</w:t>
      </w:r>
      <w:r>
        <w:rPr>
          <w:rFonts w:ascii="黑体" w:hAnsi="黑体" w:eastAsia="黑体" w:cs="黑体"/>
          <w:sz w:val="32"/>
          <w:szCs w:val="32"/>
        </w:rPr>
        <w:t>2</w:t>
      </w:r>
    </w:p>
    <w:p>
      <w:pPr>
        <w:spacing w:line="560" w:lineRule="exact"/>
        <w:jc w:val="center"/>
        <w:rPr>
          <w:rFonts w:ascii="黑体" w:hAnsi="黑体" w:eastAsia="黑体"/>
          <w:sz w:val="44"/>
          <w:szCs w:val="44"/>
        </w:rPr>
      </w:pPr>
    </w:p>
    <w:p>
      <w:pPr>
        <w:widowControl w:val="0"/>
        <w:spacing w:line="560" w:lineRule="exact"/>
        <w:jc w:val="center"/>
        <w:rPr>
          <w:rFonts w:ascii="方正小标宋简体" w:hAnsi="黑体" w:eastAsia="方正小标宋简体"/>
          <w:sz w:val="40"/>
          <w:szCs w:val="40"/>
        </w:rPr>
      </w:pPr>
      <w:r>
        <w:rPr>
          <w:rFonts w:hint="eastAsia" w:ascii="方正小标宋简体" w:hAnsi="黑体" w:eastAsia="方正小标宋简体" w:cs="方正小标宋简体"/>
          <w:sz w:val="40"/>
          <w:szCs w:val="40"/>
        </w:rPr>
        <w:t>北关区</w:t>
      </w:r>
      <w:r>
        <w:rPr>
          <w:rFonts w:ascii="方正小标宋简体" w:hAnsi="黑体" w:eastAsia="方正小标宋简体" w:cs="方正小标宋简体"/>
          <w:sz w:val="40"/>
          <w:szCs w:val="40"/>
        </w:rPr>
        <w:t>2020</w:t>
      </w:r>
      <w:r>
        <w:rPr>
          <w:rFonts w:hint="eastAsia" w:ascii="方正小标宋简体" w:hAnsi="黑体" w:eastAsia="方正小标宋简体" w:cs="方正小标宋简体"/>
          <w:sz w:val="40"/>
          <w:szCs w:val="40"/>
        </w:rPr>
        <w:t>年水污染防治重点工程项目清单</w:t>
      </w:r>
    </w:p>
    <w:tbl>
      <w:tblPr>
        <w:tblStyle w:val="6"/>
        <w:tblpPr w:leftFromText="180" w:rightFromText="180" w:vertAnchor="text" w:horzAnchor="page" w:tblpX="1440"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401"/>
        <w:gridCol w:w="2268"/>
        <w:gridCol w:w="3860"/>
        <w:gridCol w:w="2316"/>
        <w:gridCol w:w="1043"/>
        <w:gridCol w:w="120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tblHeader/>
        </w:trPr>
        <w:tc>
          <w:tcPr>
            <w:tcW w:w="589"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序号</w:t>
            </w:r>
          </w:p>
        </w:tc>
        <w:tc>
          <w:tcPr>
            <w:tcW w:w="1401"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所在辖区</w:t>
            </w:r>
          </w:p>
        </w:tc>
        <w:tc>
          <w:tcPr>
            <w:tcW w:w="2268"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项</w:t>
            </w:r>
            <w:r>
              <w:rPr>
                <w:rFonts w:ascii="黑体" w:hAnsi="黑体" w:eastAsia="黑体" w:cs="黑体"/>
                <w:b/>
                <w:bCs/>
                <w:kern w:val="0"/>
              </w:rPr>
              <w:t xml:space="preserve"> </w:t>
            </w:r>
            <w:r>
              <w:rPr>
                <w:rFonts w:hint="eastAsia" w:ascii="黑体" w:hAnsi="黑体" w:eastAsia="黑体" w:cs="黑体"/>
                <w:b/>
                <w:bCs/>
                <w:kern w:val="0"/>
              </w:rPr>
              <w:t>目</w:t>
            </w:r>
            <w:r>
              <w:rPr>
                <w:rFonts w:ascii="黑体" w:hAnsi="黑体" w:eastAsia="黑体" w:cs="黑体"/>
                <w:b/>
                <w:bCs/>
                <w:kern w:val="0"/>
              </w:rPr>
              <w:t xml:space="preserve"> </w:t>
            </w:r>
            <w:r>
              <w:rPr>
                <w:rFonts w:hint="eastAsia" w:ascii="黑体" w:hAnsi="黑体" w:eastAsia="黑体" w:cs="黑体"/>
                <w:b/>
                <w:bCs/>
                <w:kern w:val="0"/>
              </w:rPr>
              <w:t>名</w:t>
            </w:r>
            <w:r>
              <w:rPr>
                <w:rFonts w:ascii="黑体" w:hAnsi="黑体" w:eastAsia="黑体" w:cs="黑体"/>
                <w:b/>
                <w:bCs/>
                <w:kern w:val="0"/>
              </w:rPr>
              <w:t xml:space="preserve"> </w:t>
            </w:r>
            <w:r>
              <w:rPr>
                <w:rFonts w:hint="eastAsia" w:ascii="黑体" w:hAnsi="黑体" w:eastAsia="黑体" w:cs="黑体"/>
                <w:b/>
                <w:bCs/>
                <w:kern w:val="0"/>
              </w:rPr>
              <w:t>称</w:t>
            </w:r>
          </w:p>
        </w:tc>
        <w:tc>
          <w:tcPr>
            <w:tcW w:w="3860"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项</w:t>
            </w:r>
            <w:r>
              <w:rPr>
                <w:rFonts w:ascii="黑体" w:hAnsi="黑体" w:eastAsia="黑体" w:cs="黑体"/>
                <w:b/>
                <w:bCs/>
                <w:kern w:val="0"/>
              </w:rPr>
              <w:t xml:space="preserve"> </w:t>
            </w:r>
            <w:r>
              <w:rPr>
                <w:rFonts w:hint="eastAsia" w:ascii="黑体" w:hAnsi="黑体" w:eastAsia="黑体" w:cs="黑体"/>
                <w:b/>
                <w:bCs/>
                <w:kern w:val="0"/>
              </w:rPr>
              <w:t>目</w:t>
            </w:r>
            <w:r>
              <w:rPr>
                <w:rFonts w:ascii="黑体" w:hAnsi="黑体" w:eastAsia="黑体" w:cs="黑体"/>
                <w:b/>
                <w:bCs/>
                <w:kern w:val="0"/>
              </w:rPr>
              <w:t xml:space="preserve"> </w:t>
            </w:r>
            <w:r>
              <w:rPr>
                <w:rFonts w:hint="eastAsia" w:ascii="黑体" w:hAnsi="黑体" w:eastAsia="黑体" w:cs="黑体"/>
                <w:b/>
                <w:bCs/>
                <w:kern w:val="0"/>
              </w:rPr>
              <w:t>概</w:t>
            </w:r>
            <w:r>
              <w:rPr>
                <w:rFonts w:ascii="黑体" w:hAnsi="黑体" w:eastAsia="黑体" w:cs="黑体"/>
                <w:b/>
                <w:bCs/>
                <w:kern w:val="0"/>
              </w:rPr>
              <w:t xml:space="preserve"> </w:t>
            </w:r>
            <w:r>
              <w:rPr>
                <w:rFonts w:hint="eastAsia" w:ascii="黑体" w:hAnsi="黑体" w:eastAsia="黑体" w:cs="黑体"/>
                <w:b/>
                <w:bCs/>
                <w:kern w:val="0"/>
              </w:rPr>
              <w:t>况</w:t>
            </w:r>
          </w:p>
        </w:tc>
        <w:tc>
          <w:tcPr>
            <w:tcW w:w="2316"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项</w:t>
            </w:r>
            <w:r>
              <w:rPr>
                <w:rFonts w:ascii="黑体" w:hAnsi="黑体" w:eastAsia="黑体" w:cs="黑体"/>
                <w:b/>
                <w:bCs/>
                <w:kern w:val="0"/>
              </w:rPr>
              <w:t xml:space="preserve"> </w:t>
            </w:r>
            <w:r>
              <w:rPr>
                <w:rFonts w:hint="eastAsia" w:ascii="黑体" w:hAnsi="黑体" w:eastAsia="黑体" w:cs="黑体"/>
                <w:b/>
                <w:bCs/>
                <w:kern w:val="0"/>
              </w:rPr>
              <w:t>目</w:t>
            </w:r>
            <w:r>
              <w:rPr>
                <w:rFonts w:ascii="黑体" w:hAnsi="黑体" w:eastAsia="黑体" w:cs="黑体"/>
                <w:b/>
                <w:bCs/>
                <w:kern w:val="0"/>
              </w:rPr>
              <w:t xml:space="preserve"> </w:t>
            </w:r>
            <w:r>
              <w:rPr>
                <w:rFonts w:hint="eastAsia" w:ascii="黑体" w:hAnsi="黑体" w:eastAsia="黑体" w:cs="黑体"/>
                <w:b/>
                <w:bCs/>
                <w:kern w:val="0"/>
              </w:rPr>
              <w:t>细</w:t>
            </w:r>
            <w:r>
              <w:rPr>
                <w:rFonts w:ascii="黑体" w:hAnsi="黑体" w:eastAsia="黑体" w:cs="黑体"/>
                <w:b/>
                <w:bCs/>
                <w:kern w:val="0"/>
              </w:rPr>
              <w:t xml:space="preserve"> </w:t>
            </w:r>
            <w:r>
              <w:rPr>
                <w:rFonts w:hint="eastAsia" w:ascii="黑体" w:hAnsi="黑体" w:eastAsia="黑体" w:cs="黑体"/>
                <w:b/>
                <w:bCs/>
                <w:kern w:val="0"/>
              </w:rPr>
              <w:t>类</w:t>
            </w:r>
          </w:p>
        </w:tc>
        <w:tc>
          <w:tcPr>
            <w:tcW w:w="1043"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接纳水体</w:t>
            </w:r>
          </w:p>
        </w:tc>
        <w:tc>
          <w:tcPr>
            <w:tcW w:w="1201" w:type="dxa"/>
            <w:vAlign w:val="center"/>
          </w:tcPr>
          <w:p>
            <w:pPr>
              <w:spacing w:line="240" w:lineRule="exact"/>
              <w:jc w:val="center"/>
              <w:rPr>
                <w:rFonts w:ascii="黑体" w:hAnsi="黑体" w:eastAsia="黑体"/>
                <w:b/>
                <w:bCs/>
                <w:kern w:val="0"/>
              </w:rPr>
            </w:pPr>
            <w:r>
              <w:rPr>
                <w:rFonts w:hint="eastAsia" w:ascii="黑体" w:hAnsi="黑体" w:eastAsia="黑体" w:cs="黑体"/>
                <w:b/>
                <w:bCs/>
                <w:kern w:val="0"/>
              </w:rPr>
              <w:t>完成时限</w:t>
            </w:r>
          </w:p>
        </w:tc>
        <w:tc>
          <w:tcPr>
            <w:tcW w:w="1219" w:type="dxa"/>
            <w:vAlign w:val="center"/>
          </w:tcPr>
          <w:p>
            <w:pPr>
              <w:spacing w:line="240" w:lineRule="exact"/>
              <w:jc w:val="center"/>
              <w:rPr>
                <w:rFonts w:ascii="黑体" w:hAnsi="黑体" w:eastAsia="黑体"/>
              </w:rPr>
            </w:pPr>
            <w:r>
              <w:rPr>
                <w:rFonts w:hint="eastAsia" w:ascii="黑体" w:hAnsi="黑体" w:eastAsia="黑体" w:cs="黑体"/>
                <w:b/>
                <w:bCs/>
                <w:kern w:val="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3" w:hRule="atLeast"/>
        </w:trPr>
        <w:tc>
          <w:tcPr>
            <w:tcW w:w="589" w:type="dxa"/>
            <w:vAlign w:val="center"/>
          </w:tcPr>
          <w:p>
            <w:pPr>
              <w:spacing w:line="240" w:lineRule="exact"/>
              <w:jc w:val="center"/>
              <w:rPr>
                <w:rFonts w:ascii="宋体" w:hAnsi="宋体" w:cs="宋体"/>
              </w:rPr>
            </w:pPr>
            <w:r>
              <w:rPr>
                <w:rFonts w:ascii="宋体" w:hAnsi="宋体" w:cs="宋体"/>
              </w:rPr>
              <w:t>1</w:t>
            </w:r>
          </w:p>
        </w:tc>
        <w:tc>
          <w:tcPr>
            <w:tcW w:w="1401" w:type="dxa"/>
            <w:vAlign w:val="center"/>
          </w:tcPr>
          <w:p>
            <w:pPr>
              <w:spacing w:line="240" w:lineRule="exact"/>
              <w:jc w:val="center"/>
              <w:rPr>
                <w:rFonts w:ascii="宋体"/>
              </w:rPr>
            </w:pPr>
            <w:r>
              <w:rPr>
                <w:rFonts w:hint="eastAsia" w:ascii="宋体" w:hAnsi="宋体" w:cs="宋体"/>
              </w:rPr>
              <w:t>文峰区、北关区、殷都区</w:t>
            </w:r>
          </w:p>
        </w:tc>
        <w:tc>
          <w:tcPr>
            <w:tcW w:w="2268" w:type="dxa"/>
            <w:vAlign w:val="center"/>
          </w:tcPr>
          <w:p>
            <w:pPr>
              <w:spacing w:line="240" w:lineRule="exact"/>
              <w:jc w:val="center"/>
              <w:rPr>
                <w:rFonts w:ascii="宋体"/>
              </w:rPr>
            </w:pPr>
            <w:r>
              <w:rPr>
                <w:rFonts w:hint="eastAsia" w:ascii="宋体" w:hAnsi="宋体" w:cs="宋体"/>
              </w:rPr>
              <w:t>安阳市城区雨污</w:t>
            </w:r>
          </w:p>
          <w:p>
            <w:pPr>
              <w:spacing w:line="240" w:lineRule="exact"/>
              <w:jc w:val="center"/>
              <w:rPr>
                <w:rFonts w:ascii="宋体"/>
              </w:rPr>
            </w:pPr>
            <w:r>
              <w:rPr>
                <w:rFonts w:hint="eastAsia" w:ascii="宋体" w:hAnsi="宋体" w:cs="宋体"/>
              </w:rPr>
              <w:t>分流及改造工程★</w:t>
            </w:r>
          </w:p>
        </w:tc>
        <w:tc>
          <w:tcPr>
            <w:tcW w:w="3860" w:type="dxa"/>
            <w:vAlign w:val="center"/>
          </w:tcPr>
          <w:p>
            <w:pPr>
              <w:spacing w:line="240" w:lineRule="exact"/>
              <w:jc w:val="center"/>
              <w:rPr>
                <w:rFonts w:ascii="宋体"/>
              </w:rPr>
            </w:pPr>
            <w:r>
              <w:rPr>
                <w:rFonts w:hint="eastAsia" w:ascii="宋体" w:hAnsi="宋体" w:cs="宋体"/>
              </w:rPr>
              <w:t>新建</w:t>
            </w:r>
            <w:r>
              <w:rPr>
                <w:rFonts w:ascii="宋体" w:hAnsi="宋体" w:cs="宋体"/>
              </w:rPr>
              <w:t>13</w:t>
            </w:r>
            <w:r>
              <w:rPr>
                <w:rFonts w:hint="eastAsia" w:ascii="宋体" w:hAnsi="宋体" w:cs="宋体"/>
              </w:rPr>
              <w:t>公里雨污管网</w:t>
            </w:r>
          </w:p>
        </w:tc>
        <w:tc>
          <w:tcPr>
            <w:tcW w:w="2316" w:type="dxa"/>
            <w:vAlign w:val="center"/>
          </w:tcPr>
          <w:p>
            <w:pPr>
              <w:spacing w:line="240" w:lineRule="exact"/>
              <w:jc w:val="center"/>
              <w:rPr>
                <w:rFonts w:ascii="宋体"/>
              </w:rPr>
            </w:pPr>
            <w:r>
              <w:rPr>
                <w:rFonts w:hint="eastAsia" w:ascii="宋体" w:hAnsi="宋体" w:cs="宋体"/>
              </w:rPr>
              <w:t>城镇污水管网建设</w:t>
            </w:r>
          </w:p>
        </w:tc>
        <w:tc>
          <w:tcPr>
            <w:tcW w:w="1043" w:type="dxa"/>
            <w:vAlign w:val="center"/>
          </w:tcPr>
          <w:p>
            <w:pPr>
              <w:spacing w:line="240" w:lineRule="exact"/>
              <w:jc w:val="center"/>
              <w:rPr>
                <w:rFonts w:ascii="宋体"/>
              </w:rPr>
            </w:pPr>
            <w:r>
              <w:rPr>
                <w:rFonts w:hint="eastAsia" w:ascii="宋体" w:hAnsi="宋体" w:cs="宋体"/>
              </w:rPr>
              <w:t>安阳河</w:t>
            </w:r>
          </w:p>
        </w:tc>
        <w:tc>
          <w:tcPr>
            <w:tcW w:w="1201" w:type="dxa"/>
            <w:vAlign w:val="center"/>
          </w:tcPr>
          <w:p>
            <w:pPr>
              <w:spacing w:line="240" w:lineRule="exact"/>
              <w:jc w:val="center"/>
              <w:rPr>
                <w:rFonts w:ascii="宋体"/>
              </w:rPr>
            </w:pPr>
            <w:r>
              <w:rPr>
                <w:rFonts w:ascii="宋体" w:hAnsi="宋体" w:cs="宋体"/>
              </w:rPr>
              <w:t>2020</w:t>
            </w:r>
            <w:r>
              <w:rPr>
                <w:rFonts w:hint="eastAsia" w:ascii="宋体" w:hAnsi="宋体" w:cs="宋体"/>
              </w:rPr>
              <w:t>年</w:t>
            </w:r>
          </w:p>
        </w:tc>
        <w:tc>
          <w:tcPr>
            <w:tcW w:w="1219" w:type="dxa"/>
            <w:vAlign w:val="center"/>
          </w:tcPr>
          <w:p>
            <w:pPr>
              <w:spacing w:line="240" w:lineRule="exact"/>
              <w:jc w:val="center"/>
              <w:rPr>
                <w:rFonts w:ascii="宋体"/>
              </w:rPr>
            </w:pPr>
            <w:r>
              <w:rPr>
                <w:rFonts w:hint="eastAsia" w:ascii="宋体" w:hAnsi="宋体" w:cs="宋体"/>
              </w:rPr>
              <w:t>区住房和城乡建设局</w:t>
            </w:r>
          </w:p>
        </w:tc>
      </w:tr>
    </w:tbl>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napToGrid w:val="0"/>
        <w:spacing w:line="560" w:lineRule="exact"/>
        <w:ind w:left="-2" w:leftChars="-1" w:firstLine="627" w:firstLineChars="196"/>
        <w:rPr>
          <w:rStyle w:val="10"/>
          <w:rFonts w:ascii="仿宋" w:hAnsi="仿宋" w:eastAsia="仿宋"/>
          <w:sz w:val="32"/>
          <w:szCs w:val="32"/>
        </w:rPr>
      </w:pPr>
    </w:p>
    <w:p>
      <w:pPr>
        <w:spacing w:line="560" w:lineRule="exact"/>
        <w:jc w:val="left"/>
        <w:rPr>
          <w:rFonts w:ascii="黑体" w:hAnsi="黑体" w:eastAsia="黑体"/>
          <w:sz w:val="32"/>
          <w:szCs w:val="32"/>
        </w:rPr>
      </w:pPr>
      <w:r>
        <w:rPr>
          <w:rFonts w:hint="eastAsia" w:ascii="黑体" w:hAnsi="黑体" w:eastAsia="黑体" w:cs="黑体"/>
          <w:sz w:val="32"/>
          <w:szCs w:val="32"/>
        </w:rPr>
        <w:t>附表</w:t>
      </w:r>
      <w:r>
        <w:rPr>
          <w:rFonts w:ascii="黑体" w:hAnsi="黑体" w:eastAsia="黑体" w:cs="黑体"/>
          <w:sz w:val="32"/>
          <w:szCs w:val="32"/>
        </w:rPr>
        <w:t>3</w:t>
      </w:r>
    </w:p>
    <w:p>
      <w:pPr>
        <w:spacing w:line="560" w:lineRule="exact"/>
        <w:jc w:val="left"/>
        <w:rPr>
          <w:rStyle w:val="10"/>
          <w:rFonts w:ascii="黑体" w:hAnsi="黑体" w:eastAsia="黑体"/>
          <w:sz w:val="32"/>
          <w:szCs w:val="32"/>
        </w:rPr>
      </w:pPr>
    </w:p>
    <w:p>
      <w:pPr>
        <w:spacing w:afterLines="100" w:line="560" w:lineRule="exact"/>
        <w:jc w:val="center"/>
        <w:rPr>
          <w:rFonts w:ascii="方正小标宋简体" w:hAnsi="黑体" w:eastAsia="方正小标宋简体"/>
          <w:sz w:val="40"/>
          <w:szCs w:val="40"/>
        </w:rPr>
      </w:pPr>
      <w:r>
        <w:rPr>
          <w:rFonts w:hint="eastAsia" w:ascii="方正小标宋简体" w:hAnsi="黑体" w:eastAsia="方正小标宋简体" w:cs="方正小标宋简体"/>
          <w:sz w:val="40"/>
          <w:szCs w:val="40"/>
        </w:rPr>
        <w:t>北关区</w:t>
      </w:r>
      <w:r>
        <w:rPr>
          <w:rFonts w:ascii="方正小标宋简体" w:hAnsi="黑体" w:eastAsia="方正小标宋简体" w:cs="方正小标宋简体"/>
          <w:sz w:val="40"/>
          <w:szCs w:val="40"/>
        </w:rPr>
        <w:t>2020</w:t>
      </w:r>
      <w:r>
        <w:rPr>
          <w:rFonts w:hint="eastAsia" w:ascii="方正小标宋简体" w:hAnsi="黑体" w:eastAsia="方正小标宋简体" w:cs="方正小标宋简体"/>
          <w:sz w:val="40"/>
          <w:szCs w:val="40"/>
        </w:rPr>
        <w:t>年城市黑臭水体整治清单</w:t>
      </w:r>
    </w:p>
    <w:tbl>
      <w:tblPr>
        <w:tblStyle w:val="6"/>
        <w:tblW w:w="14070" w:type="dxa"/>
        <w:tblInd w:w="2" w:type="dxa"/>
        <w:tblLayout w:type="fixed"/>
        <w:tblCellMar>
          <w:top w:w="0" w:type="dxa"/>
          <w:left w:w="0" w:type="dxa"/>
          <w:bottom w:w="0" w:type="dxa"/>
          <w:right w:w="0" w:type="dxa"/>
        </w:tblCellMar>
      </w:tblPr>
      <w:tblGrid>
        <w:gridCol w:w="455"/>
        <w:gridCol w:w="1064"/>
        <w:gridCol w:w="895"/>
        <w:gridCol w:w="1265"/>
        <w:gridCol w:w="1336"/>
        <w:gridCol w:w="1094"/>
        <w:gridCol w:w="1336"/>
        <w:gridCol w:w="1038"/>
        <w:gridCol w:w="1298"/>
        <w:gridCol w:w="3351"/>
        <w:gridCol w:w="938"/>
      </w:tblGrid>
      <w:tr>
        <w:tblPrEx>
          <w:tblCellMar>
            <w:top w:w="0" w:type="dxa"/>
            <w:left w:w="0" w:type="dxa"/>
            <w:bottom w:w="0" w:type="dxa"/>
            <w:right w:w="0" w:type="dxa"/>
          </w:tblCellMar>
        </w:tblPrEx>
        <w:trPr>
          <w:trHeight w:val="959" w:hRule="atLeast"/>
        </w:trPr>
        <w:tc>
          <w:tcPr>
            <w:tcW w:w="4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sz w:val="18"/>
                <w:szCs w:val="18"/>
              </w:rPr>
            </w:pPr>
            <w:r>
              <w:rPr>
                <w:rFonts w:hint="eastAsia" w:ascii="宋体" w:hAnsi="宋体" w:cs="宋体"/>
                <w:b/>
                <w:bCs/>
                <w:color w:val="000000"/>
                <w:kern w:val="0"/>
                <w:sz w:val="18"/>
                <w:szCs w:val="18"/>
              </w:rPr>
              <w:t>序号</w:t>
            </w:r>
          </w:p>
        </w:tc>
        <w:tc>
          <w:tcPr>
            <w:tcW w:w="106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kern w:val="0"/>
                <w:sz w:val="18"/>
                <w:szCs w:val="18"/>
              </w:rPr>
            </w:pPr>
            <w:r>
              <w:rPr>
                <w:rFonts w:hint="eastAsia" w:ascii="宋体" w:hAnsi="宋体" w:cs="宋体"/>
                <w:b/>
                <w:bCs/>
                <w:color w:val="000000"/>
                <w:kern w:val="0"/>
                <w:sz w:val="18"/>
                <w:szCs w:val="18"/>
              </w:rPr>
              <w:t>黑臭水体</w:t>
            </w:r>
          </w:p>
          <w:p>
            <w:pPr>
              <w:jc w:val="center"/>
              <w:textAlignment w:val="center"/>
              <w:rPr>
                <w:rFonts w:ascii="宋体"/>
                <w:b/>
                <w:bCs/>
                <w:color w:val="000000"/>
                <w:sz w:val="18"/>
                <w:szCs w:val="18"/>
              </w:rPr>
            </w:pPr>
            <w:r>
              <w:rPr>
                <w:rFonts w:hint="eastAsia" w:ascii="宋体" w:hAnsi="宋体" w:cs="宋体"/>
                <w:b/>
                <w:bCs/>
                <w:color w:val="000000"/>
                <w:kern w:val="0"/>
                <w:sz w:val="18"/>
                <w:szCs w:val="18"/>
              </w:rPr>
              <w:t>名</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称</w:t>
            </w:r>
          </w:p>
        </w:tc>
        <w:tc>
          <w:tcPr>
            <w:tcW w:w="89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kern w:val="0"/>
                <w:sz w:val="18"/>
                <w:szCs w:val="18"/>
              </w:rPr>
            </w:pPr>
            <w:r>
              <w:rPr>
                <w:rFonts w:hint="eastAsia" w:ascii="宋体" w:hAnsi="宋体" w:cs="宋体"/>
                <w:b/>
                <w:bCs/>
                <w:color w:val="000000"/>
                <w:kern w:val="0"/>
                <w:sz w:val="18"/>
                <w:szCs w:val="18"/>
              </w:rPr>
              <w:t>水</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体</w:t>
            </w:r>
          </w:p>
          <w:p>
            <w:pPr>
              <w:jc w:val="center"/>
              <w:textAlignment w:val="center"/>
              <w:rPr>
                <w:rFonts w:ascii="宋体"/>
                <w:b/>
                <w:bCs/>
                <w:color w:val="000000"/>
                <w:sz w:val="18"/>
                <w:szCs w:val="18"/>
              </w:rPr>
            </w:pPr>
            <w:r>
              <w:rPr>
                <w:rFonts w:hint="eastAsia" w:ascii="宋体" w:hAnsi="宋体" w:cs="宋体"/>
                <w:b/>
                <w:bCs/>
                <w:color w:val="000000"/>
                <w:kern w:val="0"/>
                <w:sz w:val="18"/>
                <w:szCs w:val="18"/>
              </w:rPr>
              <w:t>类</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别</w:t>
            </w:r>
          </w:p>
        </w:tc>
        <w:tc>
          <w:tcPr>
            <w:tcW w:w="12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kern w:val="0"/>
                <w:sz w:val="18"/>
                <w:szCs w:val="18"/>
              </w:rPr>
            </w:pPr>
            <w:r>
              <w:rPr>
                <w:rFonts w:hint="eastAsia" w:ascii="宋体" w:hAnsi="宋体" w:cs="宋体"/>
                <w:b/>
                <w:bCs/>
                <w:color w:val="000000"/>
                <w:kern w:val="0"/>
                <w:sz w:val="18"/>
                <w:szCs w:val="18"/>
              </w:rPr>
              <w:t>黑臭水体</w:t>
            </w:r>
          </w:p>
          <w:p>
            <w:pPr>
              <w:jc w:val="center"/>
              <w:textAlignment w:val="center"/>
              <w:rPr>
                <w:rFonts w:ascii="宋体"/>
                <w:b/>
                <w:bCs/>
                <w:color w:val="000000"/>
                <w:sz w:val="18"/>
                <w:szCs w:val="18"/>
              </w:rPr>
            </w:pPr>
            <w:r>
              <w:rPr>
                <w:rFonts w:hint="eastAsia" w:ascii="宋体" w:hAnsi="宋体" w:cs="宋体"/>
                <w:b/>
                <w:bCs/>
                <w:color w:val="000000"/>
                <w:kern w:val="0"/>
                <w:sz w:val="18"/>
                <w:szCs w:val="18"/>
              </w:rPr>
              <w:t>起</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点</w:t>
            </w:r>
          </w:p>
        </w:tc>
        <w:tc>
          <w:tcPr>
            <w:tcW w:w="133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kern w:val="0"/>
                <w:sz w:val="18"/>
                <w:szCs w:val="18"/>
              </w:rPr>
            </w:pPr>
            <w:r>
              <w:rPr>
                <w:rFonts w:hint="eastAsia" w:ascii="宋体" w:hAnsi="宋体" w:cs="宋体"/>
                <w:b/>
                <w:bCs/>
                <w:color w:val="000000"/>
                <w:kern w:val="0"/>
                <w:sz w:val="18"/>
                <w:szCs w:val="18"/>
              </w:rPr>
              <w:t>黑臭水体</w:t>
            </w:r>
          </w:p>
          <w:p>
            <w:pPr>
              <w:jc w:val="center"/>
              <w:textAlignment w:val="center"/>
              <w:rPr>
                <w:rFonts w:ascii="宋体"/>
                <w:b/>
                <w:bCs/>
                <w:color w:val="000000"/>
                <w:sz w:val="18"/>
                <w:szCs w:val="18"/>
              </w:rPr>
            </w:pPr>
            <w:r>
              <w:rPr>
                <w:rFonts w:hint="eastAsia" w:ascii="宋体" w:hAnsi="宋体" w:cs="宋体"/>
                <w:b/>
                <w:bCs/>
                <w:color w:val="000000"/>
                <w:kern w:val="0"/>
                <w:sz w:val="18"/>
                <w:szCs w:val="18"/>
              </w:rPr>
              <w:t>终</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点</w:t>
            </w:r>
          </w:p>
        </w:tc>
        <w:tc>
          <w:tcPr>
            <w:tcW w:w="109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sz w:val="18"/>
                <w:szCs w:val="18"/>
              </w:rPr>
            </w:pPr>
            <w:r>
              <w:rPr>
                <w:rFonts w:hint="eastAsia" w:ascii="宋体" w:hAnsi="宋体" w:cs="宋体"/>
                <w:b/>
                <w:bCs/>
                <w:color w:val="000000"/>
                <w:kern w:val="0"/>
                <w:sz w:val="18"/>
                <w:szCs w:val="18"/>
              </w:rPr>
              <w:t>黑臭等级</w:t>
            </w:r>
          </w:p>
        </w:tc>
        <w:tc>
          <w:tcPr>
            <w:tcW w:w="13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b/>
                <w:bCs/>
                <w:color w:val="000000"/>
                <w:kern w:val="0"/>
                <w:sz w:val="18"/>
                <w:szCs w:val="18"/>
              </w:rPr>
            </w:pPr>
            <w:r>
              <w:rPr>
                <w:rFonts w:hint="eastAsia" w:ascii="宋体" w:hAnsi="宋体" w:cs="宋体"/>
                <w:b/>
                <w:bCs/>
                <w:color w:val="000000"/>
                <w:kern w:val="0"/>
                <w:sz w:val="18"/>
                <w:szCs w:val="18"/>
              </w:rPr>
              <w:t>黑臭水体面积</w:t>
            </w:r>
          </w:p>
          <w:p>
            <w:pPr>
              <w:jc w:val="center"/>
              <w:textAlignment w:val="center"/>
              <w:rPr>
                <w:rFonts w:ascii="宋体"/>
                <w:color w:val="000000"/>
                <w:kern w:val="0"/>
                <w:sz w:val="18"/>
                <w:szCs w:val="18"/>
              </w:rPr>
            </w:pPr>
            <w:r>
              <w:rPr>
                <w:rFonts w:hint="eastAsia" w:ascii="宋体" w:hAnsi="宋体" w:cs="宋体"/>
                <w:b/>
                <w:bCs/>
                <w:color w:val="000000"/>
                <w:kern w:val="0"/>
                <w:sz w:val="18"/>
                <w:szCs w:val="18"/>
              </w:rPr>
              <w:t>（平方公里）</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b/>
                <w:bCs/>
                <w:color w:val="000000"/>
                <w:kern w:val="0"/>
                <w:sz w:val="18"/>
                <w:szCs w:val="18"/>
              </w:rPr>
            </w:pPr>
            <w:r>
              <w:rPr>
                <w:rFonts w:hint="eastAsia" w:ascii="宋体" w:hAnsi="宋体" w:cs="宋体"/>
                <w:b/>
                <w:bCs/>
                <w:color w:val="000000"/>
                <w:kern w:val="0"/>
                <w:sz w:val="18"/>
                <w:szCs w:val="18"/>
              </w:rPr>
              <w:t>黑臭水体</w:t>
            </w:r>
          </w:p>
          <w:p>
            <w:pPr>
              <w:jc w:val="center"/>
              <w:textAlignment w:val="center"/>
              <w:rPr>
                <w:rFonts w:ascii="宋体"/>
                <w:b/>
                <w:bCs/>
                <w:color w:val="000000"/>
                <w:sz w:val="18"/>
                <w:szCs w:val="18"/>
              </w:rPr>
            </w:pPr>
            <w:r>
              <w:rPr>
                <w:rFonts w:hint="eastAsia" w:ascii="宋体" w:hAnsi="宋体" w:cs="宋体"/>
                <w:b/>
                <w:bCs/>
                <w:color w:val="000000"/>
                <w:kern w:val="0"/>
                <w:sz w:val="18"/>
                <w:szCs w:val="18"/>
              </w:rPr>
              <w:t>长度（公里）</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sz w:val="18"/>
                <w:szCs w:val="18"/>
              </w:rPr>
            </w:pPr>
            <w:r>
              <w:rPr>
                <w:rFonts w:hint="eastAsia" w:ascii="宋体" w:hAnsi="宋体" w:cs="宋体"/>
                <w:b/>
                <w:bCs/>
                <w:color w:val="000000"/>
                <w:kern w:val="0"/>
                <w:sz w:val="18"/>
                <w:szCs w:val="18"/>
              </w:rPr>
              <w:t>责任辖区</w:t>
            </w:r>
          </w:p>
        </w:tc>
        <w:tc>
          <w:tcPr>
            <w:tcW w:w="33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b/>
                <w:bCs/>
                <w:color w:val="000000"/>
                <w:sz w:val="18"/>
                <w:szCs w:val="18"/>
              </w:rPr>
            </w:pPr>
            <w:r>
              <w:rPr>
                <w:rFonts w:hint="eastAsia" w:ascii="宋体" w:hAnsi="宋体" w:cs="宋体"/>
                <w:b/>
                <w:bCs/>
                <w:color w:val="000000"/>
                <w:kern w:val="0"/>
                <w:sz w:val="18"/>
                <w:szCs w:val="18"/>
              </w:rPr>
              <w:t>整</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治</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内</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容</w:t>
            </w:r>
            <w:r>
              <w:rPr>
                <w:rFonts w:ascii="宋体" w:hAnsi="宋体" w:cs="宋体"/>
                <w:b/>
                <w:bCs/>
                <w:color w:val="000000"/>
                <w:kern w:val="0"/>
                <w:sz w:val="18"/>
                <w:szCs w:val="18"/>
              </w:rPr>
              <w:t xml:space="preserve"> </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b/>
                <w:bCs/>
                <w:color w:val="000000"/>
                <w:sz w:val="18"/>
                <w:szCs w:val="18"/>
              </w:rPr>
            </w:pPr>
            <w:r>
              <w:rPr>
                <w:rFonts w:hint="eastAsia" w:ascii="宋体" w:hAnsi="宋体" w:cs="宋体"/>
                <w:b/>
                <w:bCs/>
                <w:color w:val="000000"/>
                <w:kern w:val="0"/>
                <w:sz w:val="18"/>
                <w:szCs w:val="18"/>
              </w:rPr>
              <w:t>完成期限</w:t>
            </w:r>
          </w:p>
        </w:tc>
      </w:tr>
      <w:tr>
        <w:tblPrEx>
          <w:tblCellMar>
            <w:top w:w="0" w:type="dxa"/>
            <w:left w:w="0" w:type="dxa"/>
            <w:bottom w:w="0" w:type="dxa"/>
            <w:right w:w="0" w:type="dxa"/>
          </w:tblCellMar>
        </w:tblPrEx>
        <w:trPr>
          <w:trHeight w:val="609" w:hRule="atLeast"/>
        </w:trPr>
        <w:tc>
          <w:tcPr>
            <w:tcW w:w="455"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1</w:t>
            </w:r>
          </w:p>
        </w:tc>
        <w:tc>
          <w:tcPr>
            <w:tcW w:w="1064"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御路沟</w:t>
            </w:r>
          </w:p>
        </w:tc>
        <w:tc>
          <w:tcPr>
            <w:tcW w:w="895"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沟</w:t>
            </w:r>
            <w:r>
              <w:rPr>
                <w:rFonts w:ascii="宋体" w:hAnsi="宋体" w:cs="宋体"/>
                <w:color w:val="000000"/>
                <w:kern w:val="0"/>
                <w:sz w:val="18"/>
                <w:szCs w:val="18"/>
              </w:rPr>
              <w:t xml:space="preserve">  </w:t>
            </w:r>
            <w:r>
              <w:rPr>
                <w:rFonts w:hint="eastAsia" w:ascii="宋体" w:hAnsi="宋体" w:cs="宋体"/>
                <w:color w:val="000000"/>
                <w:kern w:val="0"/>
                <w:sz w:val="18"/>
                <w:szCs w:val="18"/>
              </w:rPr>
              <w:t>渠</w:t>
            </w:r>
          </w:p>
        </w:tc>
        <w:tc>
          <w:tcPr>
            <w:tcW w:w="12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安阳河</w:t>
            </w:r>
          </w:p>
        </w:tc>
        <w:tc>
          <w:tcPr>
            <w:tcW w:w="133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袁</w:t>
            </w:r>
            <w:r>
              <w:rPr>
                <w:rFonts w:ascii="宋体" w:hAnsi="宋体" w:cs="宋体"/>
                <w:color w:val="000000"/>
                <w:kern w:val="0"/>
                <w:sz w:val="18"/>
                <w:szCs w:val="18"/>
              </w:rPr>
              <w:t xml:space="preserve">  </w:t>
            </w:r>
            <w:r>
              <w:rPr>
                <w:rFonts w:hint="eastAsia" w:ascii="宋体" w:hAnsi="宋体" w:cs="宋体"/>
                <w:color w:val="000000"/>
                <w:kern w:val="0"/>
                <w:sz w:val="18"/>
                <w:szCs w:val="18"/>
              </w:rPr>
              <w:t>林</w:t>
            </w:r>
          </w:p>
        </w:tc>
        <w:tc>
          <w:tcPr>
            <w:tcW w:w="109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无黑臭</w:t>
            </w:r>
          </w:p>
        </w:tc>
        <w:tc>
          <w:tcPr>
            <w:tcW w:w="13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0.002</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0.5</w:t>
            </w:r>
          </w:p>
        </w:tc>
        <w:tc>
          <w:tcPr>
            <w:tcW w:w="12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kern w:val="0"/>
                <w:sz w:val="18"/>
                <w:szCs w:val="18"/>
              </w:rPr>
            </w:pPr>
            <w:r>
              <w:rPr>
                <w:rFonts w:hint="eastAsia" w:ascii="宋体" w:hAnsi="宋体" w:cs="宋体"/>
                <w:color w:val="000000"/>
                <w:kern w:val="0"/>
                <w:sz w:val="18"/>
                <w:szCs w:val="18"/>
              </w:rPr>
              <w:t>区住建局</w:t>
            </w:r>
          </w:p>
          <w:p>
            <w:pPr>
              <w:textAlignment w:val="center"/>
              <w:rPr>
                <w:rFonts w:ascii="宋体"/>
                <w:color w:val="000000"/>
                <w:sz w:val="18"/>
                <w:szCs w:val="18"/>
              </w:rPr>
            </w:pPr>
          </w:p>
        </w:tc>
        <w:tc>
          <w:tcPr>
            <w:tcW w:w="3351"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left"/>
              <w:textAlignment w:val="center"/>
              <w:rPr>
                <w:rFonts w:ascii="宋体"/>
                <w:color w:val="000000"/>
                <w:sz w:val="18"/>
                <w:szCs w:val="18"/>
              </w:rPr>
            </w:pPr>
            <w:r>
              <w:rPr>
                <w:rFonts w:hint="eastAsia" w:ascii="宋体" w:hAnsi="宋体" w:cs="宋体"/>
                <w:color w:val="000000"/>
                <w:kern w:val="0"/>
                <w:sz w:val="18"/>
                <w:szCs w:val="18"/>
              </w:rPr>
              <w:t>日常管理、落实网格、重点部位清淤、杜绝排污口反弹、占压河道的拆除、生态修复</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年底</w:t>
            </w:r>
          </w:p>
        </w:tc>
      </w:tr>
      <w:tr>
        <w:tblPrEx>
          <w:tblCellMar>
            <w:top w:w="0" w:type="dxa"/>
            <w:left w:w="0" w:type="dxa"/>
            <w:bottom w:w="0" w:type="dxa"/>
            <w:right w:w="0" w:type="dxa"/>
          </w:tblCellMar>
        </w:tblPrEx>
        <w:trPr>
          <w:trHeight w:val="609" w:hRule="atLeast"/>
        </w:trPr>
        <w:tc>
          <w:tcPr>
            <w:tcW w:w="4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olor w:val="000000"/>
                <w:sz w:val="18"/>
                <w:szCs w:val="18"/>
              </w:rPr>
            </w:pPr>
          </w:p>
        </w:tc>
        <w:tc>
          <w:tcPr>
            <w:tcW w:w="10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olor w:val="000000"/>
                <w:sz w:val="18"/>
                <w:szCs w:val="18"/>
              </w:rPr>
            </w:pPr>
          </w:p>
        </w:tc>
        <w:tc>
          <w:tcPr>
            <w:tcW w:w="8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olor w:val="000000"/>
                <w:sz w:val="18"/>
                <w:szCs w:val="18"/>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引岳入安线</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柏</w:t>
            </w:r>
            <w:r>
              <w:rPr>
                <w:rFonts w:ascii="宋体" w:hAnsi="宋体" w:cs="宋体"/>
                <w:color w:val="000000"/>
                <w:kern w:val="0"/>
                <w:sz w:val="18"/>
                <w:szCs w:val="18"/>
              </w:rPr>
              <w:t xml:space="preserve">  </w:t>
            </w:r>
            <w:r>
              <w:rPr>
                <w:rFonts w:hint="eastAsia" w:ascii="宋体" w:hAnsi="宋体" w:cs="宋体"/>
                <w:color w:val="000000"/>
                <w:kern w:val="0"/>
                <w:sz w:val="18"/>
                <w:szCs w:val="18"/>
              </w:rPr>
              <w:t>庄</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无黑臭</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0.022</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5.5</w:t>
            </w:r>
          </w:p>
        </w:tc>
        <w:tc>
          <w:tcPr>
            <w:tcW w:w="12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p>
        </w:tc>
        <w:tc>
          <w:tcPr>
            <w:tcW w:w="3351"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left"/>
              <w:rPr>
                <w:rFonts w:ascii="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年底</w:t>
            </w:r>
          </w:p>
        </w:tc>
      </w:tr>
      <w:tr>
        <w:tblPrEx>
          <w:tblCellMar>
            <w:top w:w="0" w:type="dxa"/>
            <w:left w:w="0" w:type="dxa"/>
            <w:bottom w:w="0" w:type="dxa"/>
            <w:right w:w="0" w:type="dxa"/>
          </w:tblCellMar>
        </w:tblPrEx>
        <w:trPr>
          <w:trHeight w:val="743" w:hRule="atLeast"/>
        </w:trPr>
        <w:tc>
          <w:tcPr>
            <w:tcW w:w="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漳涧沟</w:t>
            </w:r>
          </w:p>
        </w:tc>
        <w:tc>
          <w:tcPr>
            <w:tcW w:w="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沟</w:t>
            </w:r>
            <w:r>
              <w:rPr>
                <w:rFonts w:ascii="宋体" w:hAnsi="宋体" w:cs="宋体"/>
                <w:color w:val="000000"/>
                <w:kern w:val="0"/>
                <w:sz w:val="18"/>
                <w:szCs w:val="18"/>
              </w:rPr>
              <w:t xml:space="preserve">  </w:t>
            </w:r>
            <w:r>
              <w:rPr>
                <w:rFonts w:hint="eastAsia" w:ascii="宋体" w:hAnsi="宋体" w:cs="宋体"/>
                <w:color w:val="000000"/>
                <w:kern w:val="0"/>
                <w:sz w:val="18"/>
                <w:szCs w:val="18"/>
              </w:rPr>
              <w:t>渠</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彰北宋家庙</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彰北东漳涧村</w:t>
            </w:r>
          </w:p>
        </w:tc>
        <w:tc>
          <w:tcPr>
            <w:tcW w:w="1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轻</w:t>
            </w:r>
            <w:r>
              <w:rPr>
                <w:rFonts w:ascii="宋体" w:hAnsi="宋体" w:cs="宋体"/>
                <w:color w:val="000000"/>
                <w:kern w:val="0"/>
                <w:sz w:val="18"/>
                <w:szCs w:val="18"/>
              </w:rPr>
              <w:t xml:space="preserve">  </w:t>
            </w:r>
            <w:r>
              <w:rPr>
                <w:rFonts w:hint="eastAsia" w:ascii="宋体" w:hAnsi="宋体" w:cs="宋体"/>
                <w:color w:val="000000"/>
                <w:kern w:val="0"/>
                <w:sz w:val="18"/>
                <w:szCs w:val="18"/>
              </w:rPr>
              <w:t>度</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0.0138</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4.6</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区农业农村局</w:t>
            </w:r>
          </w:p>
        </w:tc>
        <w:tc>
          <w:tcPr>
            <w:tcW w:w="3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宋体"/>
                <w:color w:val="000000"/>
                <w:sz w:val="18"/>
                <w:szCs w:val="18"/>
              </w:rPr>
            </w:pPr>
            <w:r>
              <w:rPr>
                <w:rFonts w:hint="eastAsia" w:ascii="宋体" w:hAnsi="宋体" w:cs="宋体"/>
                <w:color w:val="000000"/>
                <w:kern w:val="0"/>
                <w:sz w:val="18"/>
                <w:szCs w:val="18"/>
              </w:rPr>
              <w:t>日常管理、落实网格、重点部位清淤、杜绝排污口反弹、占压河道的拆除、生态修复</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年底</w:t>
            </w:r>
          </w:p>
        </w:tc>
      </w:tr>
      <w:tr>
        <w:tblPrEx>
          <w:tblCellMar>
            <w:top w:w="0" w:type="dxa"/>
            <w:left w:w="0" w:type="dxa"/>
            <w:bottom w:w="0" w:type="dxa"/>
            <w:right w:w="0" w:type="dxa"/>
          </w:tblCellMar>
        </w:tblPrEx>
        <w:trPr>
          <w:trHeight w:val="743" w:hRule="atLeast"/>
        </w:trPr>
        <w:tc>
          <w:tcPr>
            <w:tcW w:w="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3</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兵营沟</w:t>
            </w:r>
          </w:p>
        </w:tc>
        <w:tc>
          <w:tcPr>
            <w:tcW w:w="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沟</w:t>
            </w:r>
            <w:r>
              <w:rPr>
                <w:rFonts w:ascii="宋体" w:hAnsi="宋体" w:cs="宋体"/>
                <w:color w:val="000000"/>
                <w:kern w:val="0"/>
                <w:sz w:val="18"/>
                <w:szCs w:val="18"/>
              </w:rPr>
              <w:t xml:space="preserve">  </w:t>
            </w:r>
            <w:r>
              <w:rPr>
                <w:rFonts w:hint="eastAsia" w:ascii="宋体" w:hAnsi="宋体" w:cs="宋体"/>
                <w:color w:val="000000"/>
                <w:kern w:val="0"/>
                <w:sz w:val="18"/>
                <w:szCs w:val="18"/>
              </w:rPr>
              <w:t>渠</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胜利路</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平原路</w:t>
            </w:r>
          </w:p>
        </w:tc>
        <w:tc>
          <w:tcPr>
            <w:tcW w:w="1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无黑臭</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0.0081</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2.7</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区生态环境分局</w:t>
            </w:r>
          </w:p>
        </w:tc>
        <w:tc>
          <w:tcPr>
            <w:tcW w:w="3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年底</w:t>
            </w:r>
          </w:p>
        </w:tc>
      </w:tr>
      <w:tr>
        <w:tblPrEx>
          <w:tblCellMar>
            <w:top w:w="0" w:type="dxa"/>
            <w:left w:w="0" w:type="dxa"/>
            <w:bottom w:w="0" w:type="dxa"/>
            <w:right w:w="0" w:type="dxa"/>
          </w:tblCellMar>
        </w:tblPrEx>
        <w:trPr>
          <w:trHeight w:val="743" w:hRule="atLeast"/>
        </w:trPr>
        <w:tc>
          <w:tcPr>
            <w:tcW w:w="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4</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于曹沟</w:t>
            </w:r>
          </w:p>
        </w:tc>
        <w:tc>
          <w:tcPr>
            <w:tcW w:w="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沟</w:t>
            </w:r>
            <w:r>
              <w:rPr>
                <w:rFonts w:ascii="宋体" w:hAnsi="宋体" w:cs="宋体"/>
                <w:color w:val="000000"/>
                <w:kern w:val="0"/>
                <w:sz w:val="18"/>
                <w:szCs w:val="18"/>
              </w:rPr>
              <w:t xml:space="preserve">  </w:t>
            </w:r>
            <w:r>
              <w:rPr>
                <w:rFonts w:hint="eastAsia" w:ascii="宋体" w:hAnsi="宋体" w:cs="宋体"/>
                <w:color w:val="000000"/>
                <w:kern w:val="0"/>
                <w:sz w:val="18"/>
                <w:szCs w:val="18"/>
              </w:rPr>
              <w:t>渠</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西于曹村</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西于曹村</w:t>
            </w:r>
          </w:p>
        </w:tc>
        <w:tc>
          <w:tcPr>
            <w:tcW w:w="1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无黑臭</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0.002</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0.5</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区市场监管局</w:t>
            </w:r>
          </w:p>
        </w:tc>
        <w:tc>
          <w:tcPr>
            <w:tcW w:w="3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年底</w:t>
            </w:r>
          </w:p>
        </w:tc>
      </w:tr>
      <w:tr>
        <w:tblPrEx>
          <w:tblCellMar>
            <w:top w:w="0" w:type="dxa"/>
            <w:left w:w="0" w:type="dxa"/>
            <w:bottom w:w="0" w:type="dxa"/>
            <w:right w:w="0" w:type="dxa"/>
          </w:tblCellMar>
        </w:tblPrEx>
        <w:trPr>
          <w:trHeight w:val="743" w:hRule="atLeast"/>
        </w:trPr>
        <w:tc>
          <w:tcPr>
            <w:tcW w:w="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kern w:val="0"/>
                <w:sz w:val="18"/>
                <w:szCs w:val="18"/>
              </w:rPr>
            </w:pPr>
            <w:r>
              <w:rPr>
                <w:rFonts w:ascii="宋体" w:hAnsi="宋体" w:cs="宋体"/>
                <w:color w:val="000000"/>
                <w:kern w:val="0"/>
                <w:sz w:val="18"/>
                <w:szCs w:val="18"/>
              </w:rPr>
              <w:t>5</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万金北干渠</w:t>
            </w:r>
          </w:p>
        </w:tc>
        <w:tc>
          <w:tcPr>
            <w:tcW w:w="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沟</w:t>
            </w:r>
            <w:r>
              <w:rPr>
                <w:rFonts w:ascii="宋体" w:hAnsi="宋体" w:cs="宋体"/>
                <w:color w:val="000000"/>
                <w:kern w:val="0"/>
                <w:sz w:val="18"/>
                <w:szCs w:val="18"/>
              </w:rPr>
              <w:t xml:space="preserve">  </w:t>
            </w:r>
            <w:r>
              <w:rPr>
                <w:rFonts w:hint="eastAsia" w:ascii="宋体" w:hAnsi="宋体" w:cs="宋体"/>
                <w:color w:val="000000"/>
                <w:kern w:val="0"/>
                <w:sz w:val="18"/>
                <w:szCs w:val="18"/>
              </w:rPr>
              <w:t>渠</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拱辰广场</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安阳河</w:t>
            </w:r>
          </w:p>
        </w:tc>
        <w:tc>
          <w:tcPr>
            <w:tcW w:w="1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无黑臭</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0.0194</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olor w:val="000000"/>
                <w:sz w:val="18"/>
                <w:szCs w:val="18"/>
              </w:rPr>
            </w:pPr>
            <w:r>
              <w:rPr>
                <w:rFonts w:ascii="宋体" w:hAnsi="宋体" w:cs="宋体"/>
                <w:color w:val="000000"/>
                <w:kern w:val="0"/>
                <w:sz w:val="18"/>
                <w:szCs w:val="18"/>
              </w:rPr>
              <w:t>4.86</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sz w:val="18"/>
                <w:szCs w:val="18"/>
              </w:rPr>
            </w:pPr>
            <w:r>
              <w:rPr>
                <w:rFonts w:hint="eastAsia" w:ascii="宋体" w:hAnsi="宋体" w:cs="宋体"/>
                <w:color w:val="000000"/>
                <w:kern w:val="0"/>
                <w:sz w:val="18"/>
                <w:szCs w:val="18"/>
              </w:rPr>
              <w:t>区城管局</w:t>
            </w:r>
          </w:p>
        </w:tc>
        <w:tc>
          <w:tcPr>
            <w:tcW w:w="3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olor w:val="000000"/>
                <w:sz w:val="18"/>
                <w:szCs w:val="18"/>
              </w:rPr>
            </w:pPr>
            <w:r>
              <w:rPr>
                <w:rFonts w:hint="eastAsia" w:ascii="宋体" w:hAnsi="宋体" w:cs="宋体"/>
                <w:color w:val="000000"/>
                <w:kern w:val="0"/>
                <w:sz w:val="18"/>
                <w:szCs w:val="18"/>
              </w:rPr>
              <w:t>日常管理、落实网格、重点部位清淤、杜绝排污口反弹、占压河道的拆除、生态修复</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color w:val="000000"/>
                <w:kern w:val="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年底</w:t>
            </w:r>
          </w:p>
        </w:tc>
      </w:tr>
    </w:tbl>
    <w:p>
      <w:pPr>
        <w:snapToGrid w:val="0"/>
        <w:spacing w:line="560" w:lineRule="exact"/>
        <w:ind w:left="-2" w:leftChars="-1" w:firstLine="411" w:firstLineChars="196"/>
        <w:rPr>
          <w:rStyle w:val="10"/>
          <w:rFonts w:ascii="仿宋" w:hAnsi="仿宋" w:eastAsia="仿宋"/>
          <w:sz w:val="32"/>
          <w:szCs w:val="32"/>
        </w:rPr>
      </w:pPr>
      <w:r>
        <w:pict>
          <v:shape id="_x0000_s1028" o:spid="_x0000_s1028" o:spt="202" type="#_x0000_t202" style="position:absolute;left:0pt;margin-left:-32.05pt;margin-top:51pt;height:63pt;width:36pt;z-index:251661312;mso-width-relative:page;mso-height-relative:page;" filled="f" stroked="f" coordsize="21600,21600">
            <v:path/>
            <v:fill on="f" focussize="0,0"/>
            <v:stroke on="f" joinstyle="miter"/>
            <v:imagedata o:title=""/>
            <o:lock v:ext="edit"/>
            <v:textbox style="layout-flow:vertical-ideographic;">
              <w:txbxContent>
                <w:p>
                  <w:r>
                    <w:rPr>
                      <w:rFonts w:ascii="仿宋_GB2312" w:eastAsia="仿宋_GB2312" w:cs="仿宋_GB2312"/>
                      <w:sz w:val="28"/>
                      <w:szCs w:val="28"/>
                    </w:rPr>
                    <w:t>- 13 -</w:t>
                  </w:r>
                </w:p>
              </w:txbxContent>
            </v:textbox>
          </v:shape>
        </w:pict>
      </w:r>
    </w:p>
    <w:sectPr>
      <w:pgSz w:w="16838" w:h="11906" w:orient="landscape"/>
      <w:pgMar w:top="1361" w:right="1418"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仿宋_GB2312" w:eastAsia="仿宋_GB2312"/>
        <w:sz w:val="28"/>
        <w:szCs w:val="28"/>
      </w:rPr>
    </w:pPr>
    <w:r>
      <w:rPr>
        <w:rStyle w:val="8"/>
        <w:rFonts w:ascii="仿宋_GB2312" w:eastAsia="仿宋_GB2312" w:cs="仿宋_GB2312"/>
        <w:sz w:val="28"/>
        <w:szCs w:val="28"/>
      </w:rPr>
      <w:fldChar w:fldCharType="begin"/>
    </w:r>
    <w:r>
      <w:rPr>
        <w:rStyle w:val="8"/>
        <w:rFonts w:ascii="仿宋_GB2312" w:eastAsia="仿宋_GB2312" w:cs="仿宋_GB2312"/>
        <w:sz w:val="28"/>
        <w:szCs w:val="28"/>
      </w:rPr>
      <w:instrText xml:space="preserve">PAGE  </w:instrText>
    </w:r>
    <w:r>
      <w:rPr>
        <w:rStyle w:val="8"/>
        <w:rFonts w:ascii="仿宋_GB2312" w:eastAsia="仿宋_GB2312" w:cs="仿宋_GB2312"/>
        <w:sz w:val="28"/>
        <w:szCs w:val="28"/>
      </w:rPr>
      <w:fldChar w:fldCharType="separate"/>
    </w:r>
    <w:r>
      <w:rPr>
        <w:rStyle w:val="8"/>
        <w:rFonts w:ascii="仿宋_GB2312" w:eastAsia="仿宋_GB2312" w:cs="仿宋_GB2312"/>
        <w:sz w:val="28"/>
        <w:szCs w:val="28"/>
      </w:rPr>
      <w:t>- 1 -</w:t>
    </w:r>
    <w:r>
      <w:rPr>
        <w:rStyle w:val="8"/>
        <w:rFonts w:ascii="仿宋_GB2312" w:eastAsia="仿宋_GB2312" w:cs="仿宋_GB2312"/>
        <w:sz w:val="28"/>
        <w:szCs w:val="28"/>
      </w:rPr>
      <w:fldChar w:fldCharType="end"/>
    </w:r>
  </w:p>
  <w:p>
    <w:pPr>
      <w:pStyle w:val="4"/>
      <w:ind w:right="360" w:firstLine="360"/>
    </w:pPr>
  </w:p>
  <w:p>
    <w:pPr>
      <w:pStyle w:val="4"/>
      <w:ind w:right="360" w:firstLine="360"/>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p>
    <w:pPr>
      <w:pStyle w:val="4"/>
      <w:ind w:right="360" w:firstLine="360"/>
    </w:pP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oNotUseMarginsForDrawingGridOrigin w:val="1"/>
  <w:drawingGridHorizontalOrigin w:val="1800"/>
  <w:drawingGridVerticalOrigin w:val="1440"/>
  <w:characterSpacingControl w:val="doNotCompress"/>
  <w:noLineBreaksAfter w:lang="zh-CN" w:val="$([{£¥·‘“〈《「『【〔〖〝﹙﹛﹝＄（．［｛￡￥"/>
  <w:noLineBreaksBefore w:lang="zh-CN" w:val="!%),.:;&gt;?]}¢¨°·ˇˉ―‖’”…‰′″›℃∶、。〃〉》」』】〕〗〞︶︺︾﹀﹄﹚﹜﹞！＂％＇），．：；？］｀｜｝～￠"/>
  <w:doNotValidateAgainstSchema/>
  <w:doNotDemarcateInvalidXml/>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FlMTQ1YzY3MzU5ODlhNjkxMDQzYzQxMDM4NzIyZDkifQ=="/>
  </w:docVars>
  <w:rsids>
    <w:rsidRoot w:val="00A04067"/>
    <w:rsid w:val="00123AB3"/>
    <w:rsid w:val="002A5591"/>
    <w:rsid w:val="00426C3B"/>
    <w:rsid w:val="00466ABE"/>
    <w:rsid w:val="004E3F39"/>
    <w:rsid w:val="005B1DDD"/>
    <w:rsid w:val="0066692A"/>
    <w:rsid w:val="00755986"/>
    <w:rsid w:val="008205CB"/>
    <w:rsid w:val="009140AD"/>
    <w:rsid w:val="009C1595"/>
    <w:rsid w:val="00A04067"/>
    <w:rsid w:val="00B04D9E"/>
    <w:rsid w:val="00B27640"/>
    <w:rsid w:val="00C047F4"/>
    <w:rsid w:val="00CA30DC"/>
    <w:rsid w:val="00D56A1A"/>
    <w:rsid w:val="00F42474"/>
    <w:rsid w:val="00FC19CB"/>
    <w:rsid w:val="01AF6BE2"/>
    <w:rsid w:val="01B11066"/>
    <w:rsid w:val="0322630A"/>
    <w:rsid w:val="06C45B01"/>
    <w:rsid w:val="1310785C"/>
    <w:rsid w:val="195737F9"/>
    <w:rsid w:val="1F3833CD"/>
    <w:rsid w:val="22360817"/>
    <w:rsid w:val="23AA0FF1"/>
    <w:rsid w:val="283A42A8"/>
    <w:rsid w:val="31F66B88"/>
    <w:rsid w:val="44AA6399"/>
    <w:rsid w:val="460B5FD9"/>
    <w:rsid w:val="4AC97033"/>
    <w:rsid w:val="4FC05FFB"/>
    <w:rsid w:val="5D845081"/>
    <w:rsid w:val="5EB479A9"/>
    <w:rsid w:val="668717E1"/>
    <w:rsid w:val="68664AEE"/>
    <w:rsid w:val="6A72457A"/>
    <w:rsid w:val="6EB72220"/>
    <w:rsid w:val="79892EA3"/>
    <w:rsid w:val="7B2A5430"/>
    <w:rsid w:val="7BD678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semiHidden/>
    <w:qFormat/>
    <w:locked/>
    <w:uiPriority w:val="0"/>
    <w:pPr>
      <w:ind w:left="1680"/>
    </w:pPr>
    <w:rPr>
      <w:rFonts w:eastAsia="Times New Roman"/>
      <w:sz w:val="32"/>
      <w:szCs w:val="24"/>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8">
    <w:name w:val="page number"/>
    <w:basedOn w:val="7"/>
    <w:autoRedefine/>
    <w:qFormat/>
    <w:uiPriority w:val="99"/>
    <w:rPr>
      <w:rFonts w:cs="Times New Roman"/>
    </w:rPr>
  </w:style>
  <w:style w:type="character" w:styleId="9">
    <w:name w:val="Emphasis"/>
    <w:basedOn w:val="10"/>
    <w:autoRedefine/>
    <w:qFormat/>
    <w:uiPriority w:val="99"/>
    <w:rPr>
      <w:rFonts w:cs="Times New Roman"/>
      <w:i/>
      <w:iCs/>
    </w:rPr>
  </w:style>
  <w:style w:type="character" w:customStyle="1" w:styleId="10">
    <w:name w:val="NormalCharacter"/>
    <w:autoRedefine/>
    <w:qFormat/>
    <w:uiPriority w:val="99"/>
    <w:rPr>
      <w:rFonts w:ascii="Times New Roman" w:hAnsi="Times New Roman" w:eastAsia="宋体"/>
    </w:rPr>
  </w:style>
  <w:style w:type="character" w:customStyle="1" w:styleId="11">
    <w:name w:val="Footer Char"/>
    <w:basedOn w:val="7"/>
    <w:link w:val="4"/>
    <w:autoRedefine/>
    <w:semiHidden/>
    <w:qFormat/>
    <w:locked/>
    <w:uiPriority w:val="99"/>
    <w:rPr>
      <w:rFonts w:cs="Times New Roman"/>
      <w:sz w:val="18"/>
      <w:szCs w:val="18"/>
    </w:rPr>
  </w:style>
  <w:style w:type="character" w:customStyle="1" w:styleId="12">
    <w:name w:val="Header Char"/>
    <w:basedOn w:val="7"/>
    <w:link w:val="5"/>
    <w:autoRedefine/>
    <w:semiHidden/>
    <w:qFormat/>
    <w:locked/>
    <w:uiPriority w:val="99"/>
    <w:rPr>
      <w:rFonts w:cs="Times New Roman"/>
      <w:sz w:val="18"/>
      <w:szCs w:val="18"/>
    </w:rPr>
  </w:style>
  <w:style w:type="table" w:customStyle="1" w:styleId="13">
    <w:name w:val="TableNormal"/>
    <w:autoRedefine/>
    <w:qFormat/>
    <w:uiPriority w:val="99"/>
    <w:rPr>
      <w:kern w:val="0"/>
      <w:sz w:val="20"/>
      <w:szCs w:val="20"/>
    </w:rPr>
    <w:tblPr>
      <w:tblCellMar>
        <w:top w:w="0" w:type="dxa"/>
        <w:left w:w="0" w:type="dxa"/>
        <w:bottom w:w="0" w:type="dxa"/>
        <w:right w:w="0" w:type="dxa"/>
      </w:tblCellMar>
    </w:tblPr>
  </w:style>
  <w:style w:type="character" w:customStyle="1" w:styleId="14">
    <w:name w:val="PageNumber"/>
    <w:basedOn w:val="10"/>
    <w:autoRedefine/>
    <w:qFormat/>
    <w:uiPriority w:val="99"/>
    <w:rPr>
      <w:rFonts w:cs="Times New Roman"/>
    </w:rPr>
  </w:style>
  <w:style w:type="character" w:customStyle="1" w:styleId="15">
    <w:name w:val="UserStyle_0"/>
    <w:basedOn w:val="10"/>
    <w:link w:val="16"/>
    <w:autoRedefine/>
    <w:qFormat/>
    <w:locked/>
    <w:uiPriority w:val="99"/>
    <w:rPr>
      <w:rFonts w:ascii="DejaVu Sans" w:hAnsi="DejaVu Sans" w:cs="DejaVu Sans"/>
      <w:kern w:val="2"/>
      <w:sz w:val="24"/>
      <w:szCs w:val="24"/>
    </w:rPr>
  </w:style>
  <w:style w:type="paragraph" w:customStyle="1" w:styleId="16">
    <w:name w:val="Header1"/>
    <w:basedOn w:val="1"/>
    <w:link w:val="15"/>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rFonts w:ascii="DejaVu Sans" w:hAnsi="DejaVu Sans" w:cs="DejaVu Sans"/>
      <w:sz w:val="18"/>
      <w:szCs w:val="18"/>
    </w:rPr>
  </w:style>
  <w:style w:type="character" w:customStyle="1" w:styleId="17">
    <w:name w:val="UserStyle_1"/>
    <w:basedOn w:val="10"/>
    <w:link w:val="18"/>
    <w:autoRedefine/>
    <w:qFormat/>
    <w:locked/>
    <w:uiPriority w:val="99"/>
    <w:rPr>
      <w:rFonts w:cs="Times New Roman"/>
      <w:kern w:val="2"/>
      <w:sz w:val="24"/>
      <w:szCs w:val="24"/>
    </w:rPr>
  </w:style>
  <w:style w:type="paragraph" w:customStyle="1" w:styleId="18">
    <w:name w:val="Footer1"/>
    <w:basedOn w:val="1"/>
    <w:link w:val="17"/>
    <w:autoRedefine/>
    <w:qFormat/>
    <w:uiPriority w:val="99"/>
    <w:pPr>
      <w:tabs>
        <w:tab w:val="center" w:pos="4153"/>
        <w:tab w:val="right" w:pos="8306"/>
      </w:tabs>
      <w:snapToGrid w:val="0"/>
      <w:jc w:val="left"/>
    </w:pPr>
    <w:rPr>
      <w:sz w:val="18"/>
      <w:szCs w:val="18"/>
    </w:rPr>
  </w:style>
  <w:style w:type="paragraph" w:customStyle="1" w:styleId="19">
    <w:name w:val="UserStyle_2"/>
    <w:basedOn w:val="1"/>
    <w:autoRedefine/>
    <w:qFormat/>
    <w:uiPriority w:val="99"/>
    <w:pPr>
      <w:ind w:firstLine="420" w:firstLineChars="200"/>
    </w:pPr>
  </w:style>
  <w:style w:type="paragraph" w:customStyle="1" w:styleId="20">
    <w:name w:val="HtmlPre"/>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30"/>
    <customShpInfo spid="_x0000_s103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845</Words>
  <Characters>4817</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2020-02-20T03:24:00Z</dcterms:created>
  <dc:creator>WPS Office</dc:creator>
  <cp:lastModifiedBy>Y</cp:lastModifiedBy>
  <cp:lastPrinted>2020-03-30T07:15:00Z</cp:lastPrinted>
  <dcterms:modified xsi:type="dcterms:W3CDTF">2024-03-25T03:39:29Z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4A486FFFE91A46C4ACBA72C2FFA974DF_12</vt:lpwstr>
  </property>
</Properties>
</file>