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75" w:lineRule="atLeast"/>
        <w:ind w:left="0" w:right="0" w:firstLine="0"/>
        <w:jc w:val="center"/>
        <w:rPr>
          <w:rFonts w:ascii="微软雅黑" w:hAnsi="微软雅黑" w:eastAsia="微软雅黑" w:cs="微软雅黑"/>
          <w:b/>
          <w:i w:val="0"/>
          <w:caps w:val="0"/>
          <w:color w:val="488E00"/>
          <w:spacing w:val="0"/>
          <w:sz w:val="45"/>
          <w:szCs w:val="45"/>
        </w:rPr>
      </w:pPr>
      <w:r>
        <w:rPr>
          <w:rFonts w:hint="eastAsia" w:ascii="微软雅黑" w:hAnsi="微软雅黑" w:eastAsia="微软雅黑" w:cs="微软雅黑"/>
          <w:b/>
          <w:i w:val="0"/>
          <w:caps w:val="0"/>
          <w:color w:val="488E00"/>
          <w:spacing w:val="0"/>
          <w:sz w:val="45"/>
          <w:szCs w:val="45"/>
          <w:bdr w:val="none" w:color="auto" w:sz="0" w:space="0"/>
        </w:rPr>
        <w:t>国务院关于进一步健全特困人员救助供养制度的意见(国发〔2016〕14号)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center"/>
      </w:pPr>
      <w:bookmarkStart w:id="0" w:name="_GoBack"/>
      <w:bookmarkEnd w:id="0"/>
      <w:r>
        <w:rPr>
          <w:rFonts w:hint="eastAsia" w:ascii="微软雅黑" w:hAnsi="微软雅黑" w:eastAsia="微软雅黑" w:cs="微软雅黑"/>
          <w:i w:val="0"/>
          <w:caps w:val="0"/>
          <w:color w:val="000000"/>
          <w:spacing w:val="0"/>
          <w:sz w:val="30"/>
          <w:szCs w:val="30"/>
          <w:bdr w:val="none" w:color="auto" w:sz="0" w:space="0"/>
        </w:rPr>
        <w:t>国发〔2016〕14号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Style w:val="5"/>
          <w:rFonts w:hint="eastAsia" w:ascii="微软雅黑" w:hAnsi="微软雅黑" w:eastAsia="微软雅黑" w:cs="微软雅黑"/>
          <w:i w:val="0"/>
          <w:caps w:val="0"/>
          <w:color w:val="000000"/>
          <w:spacing w:val="0"/>
          <w:sz w:val="30"/>
          <w:szCs w:val="30"/>
          <w:bdr w:val="none" w:color="auto" w:sz="0" w:space="0"/>
        </w:rPr>
        <w:t>一、总体要求和基本原则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坚持托底供养。强化政府托底保障职责，为城乡特困人员提供基本生活、照料服务、疾病治疗和殡葬服务等方面保障，做到应救尽救、应养尽养。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坚持属地管理。县级以上地方人民政府统筹做好本行政区域内特困人员救助供养工作，分级管理，落实责任，强化管理服务和资金保障，为特困人员提供规范、适度的救助供养服务。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坚持城乡统筹。健全城乡特困人员救助供养工作管理体制，在政策目标、资金筹集、对象范围、供养标准、经办服务等方面实现城乡统筹，确保城乡特困人员都能获得救助供养服务。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坚持适度保障。立足经济社会发展水平，科学合理制定救助供养标准，加强与其他社会保障制度衔接，实现特困人员救助供养制度保基本、全覆盖、可持续。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坚持社会参与。鼓励、引导、支持社会力量通过承接政府购买服务、慈善捐赠以及提供志愿服务等方式，为特困人员提供服务和帮扶，形成全社会关心、支持、参与特困人员救助供养工作的良好氛围。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Style w:val="5"/>
          <w:rFonts w:hint="eastAsia" w:ascii="微软雅黑" w:hAnsi="微软雅黑" w:eastAsia="微软雅黑" w:cs="微软雅黑"/>
          <w:i w:val="0"/>
          <w:caps w:val="0"/>
          <w:color w:val="000000"/>
          <w:spacing w:val="0"/>
          <w:sz w:val="30"/>
          <w:szCs w:val="30"/>
          <w:bdr w:val="none" w:color="auto" w:sz="0" w:space="0"/>
        </w:rPr>
        <w:t>二、制度内容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(一)对象范围。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城乡老年人、残疾人以及未满16周岁的未成年人，同时具备以下条件的，应当依法纳入特困人员救助供养范围：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无劳动能力、无生活来源、无法定赡养抚养扶养义务人或者其法定义务人无履行义务能力。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具体认定办法由民政部负责制定。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(二)办理程序。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终止程序。特困人员不再符合救助供养条件的，村(居)民委员会或者供养服务机构应当及时告知乡镇人民政府(街道办事处)，由乡镇人民政府(街道办事处)审核并报县级人民政府民政部门核准后，终止救助供养并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(三)救助供养内容。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特困人员救助供养主要包括以下内容：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提供基本生活条件。包括供给粮油、副食品、生活用燃料、服装、被褥等日常生活用品和零用钱。可以通过实物或者现金的方式予以保障。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对生活不能自理的给予照料。包括日常生活、住院期间的必要照料等基本服务。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提供疾病治疗。全额资助参加城乡居民基本医疗保险的个人缴费部分。医疗费用按照基本医疗保险、大病保险和医疗救助等医疗保障制度规定支付后仍有不足的，由救助供养经费予以支持。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办理丧葬事宜。特困人员死亡后的丧葬事宜，集中供养的由供养服务机构办理，分散供养的由乡镇人民政府(街道办事处)委托村(居)民委员会或者其亲属办理。丧葬费用从救助供养经费中支出。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(四)救助供养标准。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特困人员救助供养标准包括基本生活标准和照料护理标准。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基本生活标准应当满足特困人员基本生活所需。照料护理标准应当根据特困人员生活自理能力和服务需求分类制定，体现差异性。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(五)救助供养形式。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特困人员救助供养形式分为在家分散供养和在当地的供养服务机构集中供养。具备生活自理能力的，鼓励其在家分散供养;完全或者部分丧失生活自理能力的，优先为其提供集中供养服务。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集中供养。对需要集中供养的特困人员，由县级人民政府民政部门按照便于管理的原则，就近安排到相应的供养服务机构;未满16周岁的，安置到儿童福利机构。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供养服务机构管理。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Style w:val="5"/>
          <w:rFonts w:hint="eastAsia" w:ascii="微软雅黑" w:hAnsi="微软雅黑" w:eastAsia="微软雅黑" w:cs="微软雅黑"/>
          <w:i w:val="0"/>
          <w:caps w:val="0"/>
          <w:color w:val="000000"/>
          <w:spacing w:val="0"/>
          <w:sz w:val="30"/>
          <w:szCs w:val="30"/>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(一)加强组织领导。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(二)做好制度衔接。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(三)强化资金保障。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(四)加强监督管理。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(五)鼓励社会参与。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(六)加强政策宣传。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各地区、各有关部门要采用群众喜闻乐见的形式，大力宣传特困人员救助供养政策，不断提高社会知晓度，积极营造全社会关心关爱特困人员的良好氛围。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民政部、财政部要加强对本意见执行情况的监督检查，重大情况及时向国务院报告。国务院将适时组织专项督查。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150" w:afterAutospacing="0" w:line="24" w:lineRule="atLeast"/>
        <w:ind w:left="0" w:right="0" w:firstLine="420"/>
        <w:jc w:val="both"/>
      </w:pPr>
      <w:r>
        <w:rPr>
          <w:rFonts w:hint="eastAsia" w:ascii="微软雅黑" w:hAnsi="微软雅黑" w:eastAsia="微软雅黑" w:cs="微软雅黑"/>
          <w:i w:val="0"/>
          <w:caps w:val="0"/>
          <w:color w:val="000000"/>
          <w:spacing w:val="0"/>
          <w:sz w:val="30"/>
          <w:szCs w:val="30"/>
          <w:bdr w:val="none" w:color="auto" w:sz="0" w:space="0"/>
        </w:rPr>
        <w:t>2016年2月10日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7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zyq</dc:creator>
  <cp:lastModifiedBy>zyq</cp:lastModifiedBy>
  <dcterms:modified xsi:type="dcterms:W3CDTF">2020-11-06T02:18:30Z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