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pPr w:leftFromText="180" w:rightFromText="180" w:vertAnchor="text" w:horzAnchor="page" w:tblpX="925" w:tblpY="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1" w:hRule="atLeast"/>
        </w:trPr>
        <w:tc>
          <w:tcPr>
            <w:tcW w:w="10380" w:type="dxa"/>
          </w:tcPr>
          <w:p>
            <w:pPr>
              <w:spacing w:line="480" w:lineRule="exact"/>
              <w:ind w:firstLine="6720" w:firstLineChars="240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北住建环表【202</w:t>
            </w:r>
            <w:r>
              <w:rPr>
                <w:rFonts w:hint="eastAsia" w:ascii="黑体" w:hAnsi="黑体" w:eastAsia="黑体" w:cs="黑体"/>
                <w:b w:val="0"/>
                <w:bCs w:val="0"/>
                <w:sz w:val="28"/>
                <w:szCs w:val="28"/>
                <w:highlight w:val="none"/>
                <w:lang w:val="en-US" w:eastAsia="zh-CN"/>
              </w:rPr>
              <w:t>1</w:t>
            </w:r>
            <w:r>
              <w:rPr>
                <w:rFonts w:hint="eastAsia" w:ascii="黑体" w:hAnsi="黑体" w:eastAsia="黑体" w:cs="黑体"/>
                <w:b w:val="0"/>
                <w:bCs w:val="0"/>
                <w:sz w:val="28"/>
                <w:szCs w:val="28"/>
                <w:highlight w:val="none"/>
              </w:rPr>
              <w:t>】</w:t>
            </w:r>
            <w:r>
              <w:rPr>
                <w:rFonts w:hint="eastAsia" w:ascii="黑体" w:hAnsi="黑体" w:eastAsia="黑体" w:cs="黑体"/>
                <w:b w:val="0"/>
                <w:bCs w:val="0"/>
                <w:sz w:val="28"/>
                <w:szCs w:val="28"/>
                <w:highlight w:val="none"/>
                <w:lang w:val="en-US" w:eastAsia="zh-CN"/>
              </w:rPr>
              <w:t>05</w:t>
            </w:r>
            <w:r>
              <w:rPr>
                <w:rFonts w:hint="eastAsia" w:ascii="黑体" w:hAnsi="黑体" w:eastAsia="黑体" w:cs="黑体"/>
                <w:b w:val="0"/>
                <w:bCs w:val="0"/>
                <w:sz w:val="28"/>
                <w:szCs w:val="28"/>
                <w:highlight w:val="none"/>
              </w:rPr>
              <w:t>号</w:t>
            </w:r>
          </w:p>
          <w:p>
            <w:pPr>
              <w:keepNext w:val="0"/>
              <w:keepLines w:val="0"/>
              <w:widowControl/>
              <w:suppressLineNumbers w:val="0"/>
              <w:jc w:val="left"/>
              <w:rPr>
                <w:rFonts w:hint="eastAsia" w:ascii="黑体" w:hAnsi="黑体" w:eastAsia="黑体" w:cs="黑体"/>
                <w:b w:val="0"/>
                <w:bCs w:val="0"/>
                <w:sz w:val="28"/>
                <w:szCs w:val="28"/>
              </w:rPr>
            </w:pPr>
          </w:p>
          <w:p>
            <w:pPr>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b w:val="0"/>
                <w:bCs w:val="0"/>
                <w:sz w:val="28"/>
                <w:szCs w:val="28"/>
              </w:rPr>
              <w:t>关于</w:t>
            </w:r>
            <w:r>
              <w:rPr>
                <w:rFonts w:hint="eastAsia" w:ascii="黑体" w:hAnsi="黑体" w:eastAsia="黑体" w:cs="黑体"/>
                <w:color w:val="000000"/>
                <w:kern w:val="0"/>
                <w:sz w:val="28"/>
                <w:szCs w:val="28"/>
                <w:lang w:val="en-US" w:eastAsia="zh-CN" w:bidi="ar"/>
              </w:rPr>
              <w:t>安阳市北关区小军复合加工厂年加工20万米复合布项目</w:t>
            </w:r>
          </w:p>
          <w:p>
            <w:pPr>
              <w:tabs>
                <w:tab w:val="left" w:pos="792"/>
                <w:tab w:val="left" w:pos="1152"/>
                <w:tab w:val="left" w:pos="2100"/>
                <w:tab w:val="center" w:pos="5046"/>
              </w:tabs>
              <w:spacing w:line="480" w:lineRule="exact"/>
              <w:ind w:right="71" w:rightChars="34"/>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环境影响报告表的批复意见</w:t>
            </w:r>
          </w:p>
          <w:p>
            <w:pPr>
              <w:tabs>
                <w:tab w:val="left" w:pos="792"/>
                <w:tab w:val="left" w:pos="1152"/>
              </w:tabs>
              <w:ind w:right="924" w:rightChars="440"/>
              <w:rPr>
                <w:rFonts w:ascii="宋体" w:cs="宋体"/>
                <w:szCs w:val="21"/>
              </w:rPr>
            </w:pP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一、依据“环评”结论；批准</w:t>
            </w:r>
            <w:r>
              <w:rPr>
                <w:rFonts w:hint="eastAsia" w:ascii="仿宋" w:hAnsi="仿宋" w:eastAsia="仿宋" w:cs="仿宋"/>
                <w:color w:val="000000"/>
                <w:kern w:val="0"/>
                <w:sz w:val="24"/>
                <w:szCs w:val="24"/>
                <w:lang w:val="en-US" w:eastAsia="zh-CN" w:bidi="ar"/>
              </w:rPr>
              <w:t>安阳市北关区小军复合加工厂年加工20万米复合布项目</w:t>
            </w:r>
            <w:r>
              <w:rPr>
                <w:rFonts w:hint="eastAsia" w:ascii="仿宋" w:hAnsi="仿宋" w:eastAsia="仿宋" w:cs="仿宋"/>
                <w:sz w:val="24"/>
                <w:szCs w:val="24"/>
              </w:rPr>
              <w:t>环评报告表</w:t>
            </w:r>
            <w:r>
              <w:rPr>
                <w:rFonts w:hint="eastAsia" w:ascii="仿宋" w:hAnsi="仿宋" w:eastAsia="仿宋" w:cs="仿宋"/>
                <w:bCs/>
                <w:sz w:val="24"/>
                <w:szCs w:val="24"/>
              </w:rPr>
              <w:t>。项目建设地点位于</w:t>
            </w:r>
            <w:r>
              <w:rPr>
                <w:rFonts w:hint="eastAsia" w:ascii="仿宋" w:hAnsi="仿宋" w:eastAsia="仿宋" w:cs="仿宋"/>
                <w:color w:val="000000"/>
                <w:kern w:val="0"/>
                <w:sz w:val="24"/>
                <w:szCs w:val="24"/>
                <w:lang w:val="en-US" w:eastAsia="zh-CN" w:bidi="ar"/>
              </w:rPr>
              <w:t>安阳市北关区柏庄镇花村店村107国道路西厂房2间</w:t>
            </w:r>
            <w:r>
              <w:rPr>
                <w:rFonts w:hint="eastAsia" w:ascii="仿宋" w:hAnsi="仿宋" w:eastAsia="仿宋" w:cs="仿宋"/>
                <w:bCs/>
                <w:sz w:val="24"/>
                <w:szCs w:val="24"/>
              </w:rPr>
              <w:t>。总投资</w:t>
            </w:r>
            <w:r>
              <w:rPr>
                <w:rFonts w:hint="eastAsia" w:ascii="仿宋" w:hAnsi="仿宋" w:eastAsia="仿宋" w:cs="仿宋"/>
                <w:bCs/>
                <w:sz w:val="24"/>
                <w:szCs w:val="24"/>
                <w:lang w:val="en-US" w:eastAsia="zh-CN"/>
              </w:rPr>
              <w:t>6</w:t>
            </w:r>
            <w:r>
              <w:rPr>
                <w:rFonts w:hint="eastAsia" w:ascii="仿宋" w:hAnsi="仿宋" w:eastAsia="仿宋" w:cs="仿宋"/>
                <w:bCs/>
                <w:sz w:val="24"/>
                <w:szCs w:val="24"/>
              </w:rPr>
              <w:t>万元，环保投资</w:t>
            </w:r>
            <w:r>
              <w:rPr>
                <w:rFonts w:hint="eastAsia" w:ascii="仿宋" w:hAnsi="仿宋" w:eastAsia="仿宋" w:cs="仿宋"/>
                <w:bCs/>
                <w:sz w:val="24"/>
                <w:szCs w:val="24"/>
                <w:lang w:val="en-US" w:eastAsia="zh-CN"/>
              </w:rPr>
              <w:t>1.5</w:t>
            </w:r>
            <w:r>
              <w:rPr>
                <w:rFonts w:hint="eastAsia" w:ascii="仿宋" w:hAnsi="仿宋" w:eastAsia="仿宋" w:cs="仿宋"/>
                <w:bCs/>
                <w:sz w:val="24"/>
                <w:szCs w:val="24"/>
              </w:rPr>
              <w:t>万元。</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二、项目执行的有关环境保护标准按“环评”中提出的标准执行；污染物排放总量按我局核定的污染物排放总量执行。</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9"/>
              <w:textAlignment w:val="auto"/>
              <w:rPr>
                <w:rFonts w:hint="eastAsia" w:ascii="仿宋" w:hAnsi="仿宋" w:eastAsia="仿宋" w:cs="仿宋"/>
                <w:bCs/>
                <w:spacing w:val="-5"/>
                <w:sz w:val="24"/>
                <w:szCs w:val="24"/>
              </w:rPr>
            </w:pPr>
            <w:r>
              <w:rPr>
                <w:rFonts w:hint="eastAsia" w:ascii="仿宋" w:hAnsi="仿宋" w:eastAsia="仿宋" w:cs="仿宋"/>
                <w:bCs/>
                <w:spacing w:val="-5"/>
                <w:sz w:val="24"/>
                <w:szCs w:val="24"/>
              </w:rPr>
              <w:t>三、建设单位应向社会公众主动公开已经批准的“环评”，并接受相关方的咨询。</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65" w:rightChars="-31"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四、项目建设必须严格执行环境保护设施与主体工程同时设计、同时施工、同时投产使用的环境保护“三同时”制度。</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五、</w:t>
            </w:r>
            <w:r>
              <w:rPr>
                <w:rFonts w:hint="eastAsia" w:ascii="仿宋" w:hAnsi="仿宋" w:eastAsia="仿宋" w:cs="仿宋"/>
                <w:bCs/>
                <w:sz w:val="24"/>
                <w:szCs w:val="24"/>
                <w:lang w:val="zh-CN"/>
              </w:rPr>
              <w:t>项目运营期</w:t>
            </w:r>
            <w:r>
              <w:rPr>
                <w:rFonts w:hint="eastAsia" w:ascii="仿宋" w:hAnsi="仿宋" w:eastAsia="仿宋" w:cs="仿宋"/>
                <w:color w:val="000000"/>
                <w:kern w:val="0"/>
                <w:sz w:val="24"/>
                <w:szCs w:val="24"/>
                <w:lang w:val="en-US" w:eastAsia="zh-CN" w:bidi="ar"/>
              </w:rPr>
              <w:t>生活废水经化粪池集中收集后，定期清掏，</w:t>
            </w:r>
            <w:r>
              <w:rPr>
                <w:rFonts w:hint="eastAsia" w:ascii="仿宋" w:hAnsi="仿宋" w:eastAsia="仿宋" w:cs="仿宋"/>
                <w:bCs/>
                <w:sz w:val="24"/>
                <w:szCs w:val="24"/>
                <w:lang w:eastAsia="zh-CN"/>
              </w:rPr>
              <w:t>不</w:t>
            </w:r>
            <w:r>
              <w:rPr>
                <w:rFonts w:hint="eastAsia" w:ascii="仿宋" w:hAnsi="仿宋" w:eastAsia="仿宋" w:cs="仿宋"/>
                <w:bCs/>
                <w:sz w:val="24"/>
                <w:szCs w:val="24"/>
                <w:lang w:val="en-US" w:eastAsia="zh-CN"/>
              </w:rPr>
              <w:t>得</w:t>
            </w:r>
            <w:r>
              <w:rPr>
                <w:rFonts w:hint="eastAsia" w:ascii="仿宋" w:hAnsi="仿宋" w:eastAsia="仿宋" w:cs="仿宋"/>
                <w:bCs/>
                <w:sz w:val="24"/>
                <w:szCs w:val="24"/>
                <w:lang w:eastAsia="zh-CN"/>
              </w:rPr>
              <w:t>外排</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val="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bCs/>
                <w:sz w:val="24"/>
                <w:szCs w:val="24"/>
              </w:rPr>
              <w:t>六、项目运营期废气主要</w:t>
            </w:r>
            <w:r>
              <w:rPr>
                <w:rFonts w:hint="eastAsia" w:ascii="仿宋" w:hAnsi="仿宋" w:eastAsia="仿宋" w:cs="仿宋"/>
                <w:bCs/>
                <w:sz w:val="24"/>
                <w:szCs w:val="24"/>
                <w:lang w:val="en-US" w:eastAsia="zh-CN"/>
              </w:rPr>
              <w:t>为调胶、涂胶、复合工序时产生的有机废气</w:t>
            </w:r>
            <w:r>
              <w:rPr>
                <w:rFonts w:hint="eastAsia" w:ascii="仿宋" w:hAnsi="仿宋" w:eastAsia="仿宋" w:cs="仿宋"/>
                <w:color w:val="000000"/>
                <w:kern w:val="0"/>
                <w:sz w:val="24"/>
                <w:szCs w:val="24"/>
                <w:lang w:val="en-US" w:eastAsia="zh-CN" w:bidi="ar"/>
              </w:rPr>
              <w:t>，调胶工序需采取全封闭措施并接集气管道；涂胶、复合工序需在车间进行二次密闭，并在复合机上方安装集气罩。以上三道工序废气经收集后通过光氧催化器+活性炭吸附箱处理，处理后的废气经15m高的排气筒引至高空排放。有组织非甲烷总烃执行《关于全省开展工业企业挥发性有机物专项治理工作中排放建议值的通知》（豫环攻坚办〔2017〕162号）其他行业有组织非甲烷总烃最高允许排放浓度80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lang w:val="en-US" w:eastAsia="zh-CN" w:bidi="ar"/>
              </w:rPr>
              <w:t>；有组织甲苯执行《关于全省开展工业企业挥发性有机物专项治理工作中排放建议值的通知》（豫环攻坚办〔2017〕162号）甲苯与二甲苯合计40mg/m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；无组织非甲烷总烃执行《挥发性有机物无组织排放控制标准》(GB37822-2019)附录A监控点处1h平均浓度值6mg/m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和《关于全省开展工业企业挥发性有机物专项治理工作中排放建议值的通知》（豫环攻坚办〔2017〕162号）其他企业建议值2.0mg/m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;无组织甲苯执行《关于全省开展工业企业挥发性有机物专项治理工作中排放建议值的通知》（豫环攻坚办〔2017〕162号）其他企业建议值0.6mg/m</w:t>
            </w:r>
            <w:r>
              <w:rPr>
                <w:rFonts w:hint="eastAsia" w:ascii="仿宋" w:hAnsi="仿宋" w:eastAsia="仿宋" w:cs="仿宋"/>
                <w:color w:val="000000"/>
                <w:kern w:val="0"/>
                <w:sz w:val="24"/>
                <w:szCs w:val="24"/>
                <w:vertAlign w:val="superscript"/>
                <w:lang w:val="en-US" w:eastAsia="zh-CN" w:bidi="ar"/>
              </w:rPr>
              <w:t>3</w:t>
            </w:r>
            <w:r>
              <w:rPr>
                <w:rFonts w:hint="eastAsia" w:ascii="仿宋" w:hAnsi="仿宋" w:eastAsia="仿宋" w:cs="仿宋"/>
                <w:color w:val="000000"/>
                <w:kern w:val="0"/>
                <w:sz w:val="24"/>
                <w:szCs w:val="24"/>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七、</w:t>
            </w:r>
            <w:r>
              <w:rPr>
                <w:rFonts w:hint="eastAsia" w:ascii="仿宋" w:hAnsi="仿宋" w:eastAsia="仿宋" w:cs="仿宋"/>
                <w:sz w:val="24"/>
                <w:szCs w:val="24"/>
              </w:rPr>
              <w:t>项目运营期噪声源主要</w:t>
            </w:r>
            <w:r>
              <w:rPr>
                <w:rFonts w:hint="eastAsia" w:ascii="仿宋" w:hAnsi="仿宋" w:eastAsia="仿宋" w:cs="仿宋"/>
                <w:bCs/>
                <w:snapToGrid w:val="0"/>
                <w:sz w:val="24"/>
                <w:szCs w:val="24"/>
              </w:rPr>
              <w:t>为</w:t>
            </w:r>
            <w:r>
              <w:rPr>
                <w:rFonts w:hint="eastAsia" w:ascii="仿宋" w:hAnsi="仿宋" w:eastAsia="仿宋" w:cs="仿宋"/>
                <w:color w:val="000000"/>
                <w:kern w:val="0"/>
                <w:sz w:val="24"/>
                <w:szCs w:val="24"/>
                <w:lang w:val="en-US" w:eastAsia="zh-CN" w:bidi="ar"/>
              </w:rPr>
              <w:t>自复合机、风机</w:t>
            </w:r>
            <w:r>
              <w:rPr>
                <w:rFonts w:hint="eastAsia" w:ascii="仿宋" w:hAnsi="仿宋" w:eastAsia="仿宋" w:cs="仿宋"/>
                <w:bCs/>
                <w:snapToGrid w:val="0"/>
                <w:sz w:val="24"/>
                <w:szCs w:val="24"/>
              </w:rPr>
              <w:t>等生产机械运行时</w:t>
            </w:r>
            <w:r>
              <w:rPr>
                <w:rFonts w:hint="eastAsia" w:ascii="仿宋" w:hAnsi="仿宋" w:eastAsia="仿宋" w:cs="仿宋"/>
                <w:sz w:val="24"/>
                <w:szCs w:val="24"/>
              </w:rPr>
              <w:t>产生的噪声，在采取基础减震、厂房隔声、距离衰减后，各厂界噪声执行《工业企业厂界环境噪声排放标准》（GB12348-2008）中的</w:t>
            </w:r>
            <w:r>
              <w:rPr>
                <w:rFonts w:hint="eastAsia" w:ascii="仿宋" w:hAnsi="仿宋" w:eastAsia="仿宋" w:cs="仿宋"/>
                <w:sz w:val="24"/>
                <w:szCs w:val="24"/>
                <w:lang w:val="en-US" w:eastAsia="zh-CN"/>
              </w:rPr>
              <w:t>2</w:t>
            </w:r>
            <w:r>
              <w:rPr>
                <w:rFonts w:hint="eastAsia" w:ascii="仿宋" w:hAnsi="仿宋" w:eastAsia="仿宋" w:cs="仿宋"/>
                <w:sz w:val="24"/>
                <w:szCs w:val="24"/>
              </w:rPr>
              <w:t>类排放限值标准（昼间≤6</w:t>
            </w:r>
            <w:r>
              <w:rPr>
                <w:rFonts w:hint="eastAsia" w:ascii="仿宋" w:hAnsi="仿宋" w:eastAsia="仿宋" w:cs="仿宋"/>
                <w:sz w:val="24"/>
                <w:szCs w:val="24"/>
                <w:lang w:val="en-US" w:eastAsia="zh-CN"/>
              </w:rPr>
              <w:t>0</w:t>
            </w:r>
            <w:r>
              <w:rPr>
                <w:rFonts w:hint="eastAsia" w:ascii="仿宋" w:hAnsi="仿宋" w:eastAsia="仿宋" w:cs="仿宋"/>
                <w:sz w:val="24"/>
                <w:szCs w:val="24"/>
              </w:rPr>
              <w:t>dB(A)、夜间≤5</w:t>
            </w:r>
            <w:r>
              <w:rPr>
                <w:rFonts w:hint="eastAsia" w:ascii="仿宋" w:hAnsi="仿宋" w:eastAsia="仿宋" w:cs="仿宋"/>
                <w:sz w:val="24"/>
                <w:szCs w:val="24"/>
                <w:lang w:val="en-US" w:eastAsia="zh-CN"/>
              </w:rPr>
              <w:t>0</w:t>
            </w:r>
            <w:r>
              <w:rPr>
                <w:rFonts w:hint="eastAsia" w:ascii="仿宋" w:hAnsi="仿宋" w:eastAsia="仿宋" w:cs="仿宋"/>
                <w:sz w:val="24"/>
                <w:szCs w:val="24"/>
              </w:rPr>
              <w:t>dB(A)）。</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八、</w:t>
            </w:r>
            <w:r>
              <w:rPr>
                <w:rFonts w:hint="eastAsia" w:ascii="仿宋" w:hAnsi="仿宋" w:eastAsia="仿宋" w:cs="仿宋"/>
                <w:sz w:val="24"/>
                <w:szCs w:val="24"/>
              </w:rPr>
              <w:t>项目运营期</w:t>
            </w:r>
            <w:r>
              <w:rPr>
                <w:rFonts w:hint="eastAsia" w:ascii="仿宋" w:hAnsi="仿宋" w:eastAsia="仿宋" w:cs="仿宋"/>
                <w:color w:val="000000"/>
                <w:kern w:val="0"/>
                <w:sz w:val="24"/>
                <w:szCs w:val="24"/>
                <w:lang w:val="en-US" w:eastAsia="zh-CN" w:bidi="ar"/>
              </w:rPr>
              <w:t>一般固体废物边角废料、废包装材料需集中收集后，</w:t>
            </w:r>
            <w:r>
              <w:rPr>
                <w:rFonts w:hint="eastAsia" w:ascii="仿宋" w:hAnsi="仿宋" w:eastAsia="仿宋" w:cs="仿宋"/>
                <w:bCs/>
                <w:sz w:val="24"/>
                <w:szCs w:val="24"/>
              </w:rPr>
              <w:t>定期</w:t>
            </w:r>
            <w:r>
              <w:rPr>
                <w:rFonts w:hint="eastAsia" w:ascii="仿宋" w:hAnsi="仿宋" w:eastAsia="仿宋" w:cs="仿宋"/>
                <w:color w:val="000000"/>
                <w:kern w:val="0"/>
                <w:sz w:val="24"/>
                <w:szCs w:val="24"/>
                <w:lang w:val="en-US" w:eastAsia="zh-CN" w:bidi="ar"/>
              </w:rPr>
              <w:t>外售综合利用</w:t>
            </w:r>
            <w:r>
              <w:rPr>
                <w:rFonts w:hint="eastAsia" w:ascii="仿宋" w:hAnsi="仿宋" w:eastAsia="仿宋" w:cs="仿宋"/>
                <w:sz w:val="24"/>
                <w:szCs w:val="24"/>
                <w:lang w:val="en-US" w:eastAsia="zh-CN"/>
              </w:rPr>
              <w:t>。</w:t>
            </w:r>
            <w:r>
              <w:rPr>
                <w:rFonts w:hint="eastAsia" w:ascii="仿宋" w:hAnsi="仿宋" w:eastAsia="仿宋" w:cs="仿宋"/>
                <w:color w:val="000000"/>
                <w:kern w:val="0"/>
                <w:sz w:val="24"/>
                <w:szCs w:val="24"/>
                <w:lang w:val="en-US" w:eastAsia="zh-CN" w:bidi="ar"/>
              </w:rPr>
              <w:t>生活垃圾由垃圾桶收集后，委托环卫部门定时清运，</w:t>
            </w:r>
            <w:r>
              <w:rPr>
                <w:rFonts w:hint="eastAsia" w:ascii="仿宋" w:hAnsi="仿宋" w:eastAsia="仿宋" w:cs="仿宋"/>
                <w:bCs/>
                <w:sz w:val="24"/>
                <w:szCs w:val="24"/>
              </w:rPr>
              <w:t>执行《一般工业固体废物贮存、处置场所污染控制标准》(GB18599-2001)(2013年修订)要求。</w:t>
            </w:r>
          </w:p>
          <w:p>
            <w:pPr>
              <w:keepNext w:val="0"/>
              <w:keepLines w:val="0"/>
              <w:pageBreakBefore w:val="0"/>
              <w:widowControl/>
              <w:suppressLineNumbers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lang w:val="en-US" w:eastAsia="zh-CN" w:bidi="ar"/>
              </w:rPr>
              <w:t>危险废物废活性炭、废UV灯管、废胶桶、废稀释剂桶、废固化剂桶暂存于</w:t>
            </w:r>
            <w:r>
              <w:rPr>
                <w:rFonts w:hint="eastAsia" w:ascii="仿宋" w:hAnsi="仿宋" w:eastAsia="仿宋" w:cs="仿宋"/>
                <w:b/>
                <w:bCs/>
                <w:sz w:val="24"/>
                <w:szCs w:val="24"/>
                <w:lang w:val="en-US" w:eastAsia="zh-CN"/>
              </w:rPr>
              <w:t>10㎡</w:t>
            </w:r>
            <w:r>
              <w:rPr>
                <w:rFonts w:hint="eastAsia" w:ascii="仿宋" w:hAnsi="仿宋" w:eastAsia="仿宋" w:cs="仿宋"/>
                <w:b/>
                <w:bCs/>
                <w:color w:val="000000"/>
                <w:kern w:val="0"/>
                <w:sz w:val="24"/>
                <w:szCs w:val="24"/>
                <w:lang w:val="en-US" w:eastAsia="zh-CN" w:bidi="ar"/>
              </w:rPr>
              <w:t>危废暂存间内，定期交由有资质单位进行安全处置。危险废物执行《危险废物贮存污染控制标准》（GB18597-2001）（2013 年修订）及《危险废物转移联单管理办法》中的有关规定。</w:t>
            </w:r>
          </w:p>
          <w:p>
            <w:pPr>
              <w:keepNext w:val="0"/>
              <w:keepLines w:val="0"/>
              <w:pageBreakBefore w:val="0"/>
              <w:widowControl/>
              <w:suppressLineNumbers w:val="0"/>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九、制定风险事故的防范措施；</w:t>
            </w:r>
            <w:r>
              <w:rPr>
                <w:rFonts w:hint="eastAsia" w:ascii="仿宋" w:hAnsi="仿宋" w:eastAsia="仿宋" w:cs="仿宋"/>
                <w:color w:val="000000"/>
                <w:kern w:val="0"/>
                <w:sz w:val="24"/>
                <w:szCs w:val="24"/>
                <w:lang w:val="en-US" w:eastAsia="zh-CN" w:bidi="ar"/>
              </w:rPr>
              <w:t>建立健全生产环保规章制度，严格人员操作管理，加强设备、管道、各项治污措施的定期检查和维护工作。</w:t>
            </w:r>
            <w:r>
              <w:rPr>
                <w:rFonts w:hint="eastAsia" w:ascii="仿宋" w:hAnsi="仿宋" w:eastAsia="仿宋" w:cs="仿宋"/>
                <w:sz w:val="24"/>
                <w:szCs w:val="24"/>
              </w:rPr>
              <w:t>建立健全各项环保岗位责任制，确保环保设施正常、稳定运行，防止污染事故发生。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十、</w:t>
            </w:r>
            <w:r>
              <w:rPr>
                <w:rFonts w:hint="eastAsia" w:ascii="仿宋" w:hAnsi="仿宋" w:eastAsia="仿宋" w:cs="仿宋"/>
                <w:color w:val="000000"/>
                <w:sz w:val="24"/>
                <w:szCs w:val="24"/>
                <w:lang w:val="en-US" w:eastAsia="zh-CN"/>
              </w:rPr>
              <w:t xml:space="preserve"> </w:t>
            </w:r>
            <w:r>
              <w:rPr>
                <w:rFonts w:hint="eastAsia" w:ascii="仿宋" w:hAnsi="仿宋" w:eastAsia="仿宋" w:cs="仿宋"/>
                <w:sz w:val="24"/>
                <w:szCs w:val="24"/>
                <w:lang w:val="ru-RU"/>
              </w:rPr>
              <w:t>严格按照环境管理要求制定自行监测计划，并按监测计划进行自行监测。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sz w:val="24"/>
                <w:szCs w:val="24"/>
                <w:lang w:val="ru-RU"/>
              </w:rPr>
            </w:pPr>
            <w:r>
              <w:rPr>
                <w:rFonts w:hint="eastAsia" w:ascii="仿宋" w:hAnsi="仿宋" w:eastAsia="仿宋" w:cs="仿宋"/>
                <w:sz w:val="24"/>
                <w:szCs w:val="24"/>
              </w:rPr>
              <w:t>十一、</w:t>
            </w:r>
            <w:r>
              <w:rPr>
                <w:rFonts w:hint="eastAsia" w:ascii="仿宋" w:hAnsi="仿宋" w:eastAsia="仿宋" w:cs="仿宋"/>
                <w:sz w:val="24"/>
                <w:szCs w:val="24"/>
                <w:lang w:val="ru-RU"/>
              </w:rPr>
              <w:t>如果今后国家或我省颁布污染物排放限值的新标准，届时你公司应按新的排放标准执行。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snapToGrid w:val="0"/>
              <w:spacing w:line="400" w:lineRule="exact"/>
              <w:ind w:right="84" w:rightChars="40" w:firstLine="480" w:firstLineChars="200"/>
              <w:contextualSpacing/>
              <w:textAlignment w:val="auto"/>
              <w:rPr>
                <w:rFonts w:hint="eastAsia"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、本批复自下达之日起5年内有效。项目的</w:t>
            </w:r>
            <w:r>
              <w:rPr>
                <w:rFonts w:hint="eastAsia" w:ascii="仿宋" w:hAnsi="仿宋" w:eastAsia="仿宋" w:cs="仿宋"/>
                <w:b/>
                <w:bCs/>
                <w:sz w:val="24"/>
                <w:szCs w:val="24"/>
              </w:rPr>
              <w:t>性质、规模、地点、采用的生产工艺或者污染防治设施、防治生态破坏的措施</w:t>
            </w:r>
            <w:r>
              <w:rPr>
                <w:rFonts w:hint="eastAsia" w:ascii="仿宋" w:hAnsi="仿宋" w:eastAsia="仿宋" w:cs="仿宋"/>
                <w:bCs/>
                <w:sz w:val="24"/>
                <w:szCs w:val="24"/>
              </w:rPr>
              <w:t>发生重大变动，须重新报批环境影响评价文件。</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jc w:val="both"/>
              <w:textAlignment w:val="auto"/>
              <w:rPr>
                <w:rFonts w:hint="eastAsia" w:ascii="仿宋" w:hAnsi="仿宋" w:eastAsia="仿宋" w:cs="仿宋"/>
                <w:b/>
                <w:kern w:val="0"/>
                <w:sz w:val="24"/>
                <w:szCs w:val="24"/>
              </w:rPr>
            </w:pP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firstLine="560"/>
              <w:jc w:val="center"/>
              <w:textAlignment w:val="auto"/>
              <w:rPr>
                <w:rFonts w:hint="eastAsia" w:ascii="仿宋" w:hAnsi="仿宋" w:eastAsia="仿宋" w:cs="仿宋"/>
                <w:b/>
                <w:sz w:val="24"/>
                <w:szCs w:val="24"/>
              </w:rPr>
            </w:pPr>
            <w:r>
              <w:rPr>
                <w:rFonts w:hint="eastAsia" w:ascii="仿宋" w:hAnsi="仿宋" w:eastAsia="仿宋" w:cs="仿宋"/>
                <w:b/>
                <w:kern w:val="0"/>
                <w:sz w:val="24"/>
                <w:szCs w:val="24"/>
              </w:rPr>
              <w:t>项目建成后，需严格执行排污许可制度，并严格按照</w:t>
            </w:r>
            <w:r>
              <w:rPr>
                <w:rFonts w:hint="eastAsia" w:ascii="仿宋" w:hAnsi="仿宋" w:eastAsia="仿宋" w:cs="仿宋"/>
                <w:b/>
                <w:sz w:val="24"/>
                <w:szCs w:val="24"/>
              </w:rPr>
              <w:t>《建设项目竣工环境保护验收暂行办法》</w:t>
            </w:r>
          </w:p>
          <w:p>
            <w:pPr>
              <w:keepNext w:val="0"/>
              <w:keepLines w:val="0"/>
              <w:pageBreakBefore w:val="0"/>
              <w:widowControl w:val="0"/>
              <w:tabs>
                <w:tab w:val="left" w:pos="792"/>
                <w:tab w:val="left" w:pos="1152"/>
              </w:tabs>
              <w:kinsoku/>
              <w:wordWrap/>
              <w:overflowPunct/>
              <w:topLinePunct w:val="0"/>
              <w:autoSpaceDE/>
              <w:autoSpaceDN/>
              <w:bidi w:val="0"/>
              <w:adjustRightInd/>
              <w:snapToGrid w:val="0"/>
              <w:spacing w:line="400" w:lineRule="exact"/>
              <w:ind w:right="84" w:rightChars="40"/>
              <w:textAlignment w:val="auto"/>
              <w:rPr>
                <w:rFonts w:hint="eastAsia" w:ascii="仿宋" w:hAnsi="仿宋" w:eastAsia="仿宋" w:cs="仿宋"/>
                <w:b/>
                <w:kern w:val="0"/>
                <w:sz w:val="24"/>
                <w:szCs w:val="24"/>
                <w:lang w:eastAsia="zh-CN"/>
              </w:rPr>
            </w:pPr>
            <w:r>
              <w:rPr>
                <w:rFonts w:hint="eastAsia" w:ascii="仿宋" w:hAnsi="仿宋" w:eastAsia="仿宋" w:cs="仿宋"/>
                <w:b/>
                <w:sz w:val="24"/>
                <w:szCs w:val="24"/>
              </w:rPr>
              <w:t>的要求</w:t>
            </w:r>
            <w:r>
              <w:rPr>
                <w:rFonts w:hint="eastAsia" w:ascii="仿宋" w:hAnsi="仿宋" w:eastAsia="仿宋" w:cs="仿宋"/>
                <w:b/>
                <w:kern w:val="0"/>
                <w:sz w:val="24"/>
                <w:szCs w:val="24"/>
              </w:rPr>
              <w:t>进行竣工验收</w:t>
            </w:r>
            <w:r>
              <w:rPr>
                <w:rFonts w:hint="eastAsia" w:ascii="仿宋" w:hAnsi="仿宋" w:eastAsia="仿宋" w:cs="仿宋"/>
                <w:b/>
                <w:kern w:val="0"/>
                <w:sz w:val="24"/>
                <w:szCs w:val="24"/>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spacing w:line="340" w:lineRule="exact"/>
              <w:ind w:right="71" w:rightChars="34" w:firstLine="7710" w:firstLineChars="3200"/>
              <w:rPr>
                <w:rFonts w:hint="eastAsia" w:ascii="仿宋" w:hAnsi="仿宋" w:eastAsia="仿宋" w:cs="仿宋"/>
                <w:b/>
                <w:sz w:val="24"/>
                <w:szCs w:val="24"/>
              </w:rPr>
            </w:pPr>
            <w:r>
              <w:rPr>
                <w:rFonts w:hint="eastAsia" w:ascii="仿宋" w:hAnsi="仿宋" w:eastAsia="仿宋" w:cs="仿宋"/>
                <w:b/>
                <w:sz w:val="24"/>
                <w:szCs w:val="24"/>
              </w:rPr>
              <w:t>公</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章</w:t>
            </w:r>
          </w:p>
          <w:p>
            <w:pPr>
              <w:keepNext w:val="0"/>
              <w:keepLines w:val="0"/>
              <w:pageBreakBefore w:val="0"/>
              <w:widowControl w:val="0"/>
              <w:kinsoku/>
              <w:wordWrap/>
              <w:overflowPunct/>
              <w:topLinePunct w:val="0"/>
              <w:autoSpaceDE/>
              <w:autoSpaceDN/>
              <w:bidi w:val="0"/>
              <w:spacing w:line="340" w:lineRule="exact"/>
              <w:ind w:right="71" w:rightChars="34"/>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spacing w:line="340" w:lineRule="exact"/>
              <w:ind w:right="71" w:rightChars="34" w:firstLine="7228" w:firstLineChars="3000"/>
              <w:rPr>
                <w:rFonts w:ascii="宋体"/>
                <w:b/>
                <w:color w:val="000000"/>
                <w:sz w:val="24"/>
              </w:rPr>
            </w:pPr>
            <w:r>
              <w:rPr>
                <w:rFonts w:hint="eastAsia" w:ascii="仿宋" w:hAnsi="仿宋" w:eastAsia="仿宋" w:cs="仿宋"/>
                <w:b/>
                <w:sz w:val="24"/>
                <w:szCs w:val="24"/>
              </w:rPr>
              <w:t>202</w:t>
            </w:r>
            <w:r>
              <w:rPr>
                <w:rFonts w:hint="eastAsia" w:ascii="仿宋" w:hAnsi="仿宋" w:eastAsia="仿宋" w:cs="仿宋"/>
                <w:b/>
                <w:sz w:val="24"/>
                <w:szCs w:val="24"/>
                <w:lang w:val="en-US" w:eastAsia="zh-CN"/>
              </w:rPr>
              <w:t>1</w:t>
            </w:r>
            <w:r>
              <w:rPr>
                <w:rFonts w:hint="eastAsia" w:ascii="仿宋" w:hAnsi="仿宋" w:eastAsia="仿宋" w:cs="仿宋"/>
                <w:b/>
                <w:sz w:val="24"/>
                <w:szCs w:val="24"/>
              </w:rPr>
              <w:t>年</w:t>
            </w:r>
            <w:r>
              <w:rPr>
                <w:rFonts w:hint="eastAsia" w:ascii="仿宋" w:hAnsi="仿宋" w:eastAsia="仿宋" w:cs="仿宋"/>
                <w:b/>
                <w:sz w:val="24"/>
                <w:szCs w:val="24"/>
                <w:lang w:val="en-US" w:eastAsia="zh-CN"/>
              </w:rPr>
              <w:t>3</w:t>
            </w:r>
            <w:r>
              <w:rPr>
                <w:rFonts w:hint="eastAsia" w:ascii="仿宋" w:hAnsi="仿宋" w:eastAsia="仿宋" w:cs="仿宋"/>
                <w:b/>
                <w:sz w:val="24"/>
                <w:szCs w:val="24"/>
              </w:rPr>
              <w:t>月</w:t>
            </w:r>
            <w:r>
              <w:rPr>
                <w:rFonts w:hint="eastAsia" w:ascii="仿宋" w:hAnsi="仿宋" w:eastAsia="仿宋" w:cs="仿宋"/>
                <w:b/>
                <w:sz w:val="24"/>
                <w:szCs w:val="24"/>
                <w:lang w:val="en-US" w:eastAsia="zh-CN"/>
              </w:rPr>
              <w:t>17</w:t>
            </w:r>
            <w:r>
              <w:rPr>
                <w:rFonts w:hint="eastAsia" w:ascii="仿宋" w:hAnsi="仿宋" w:eastAsia="仿宋" w:cs="仿宋"/>
                <w:b/>
                <w:sz w:val="24"/>
                <w:szCs w:val="24"/>
              </w:rPr>
              <w:t>日</w:t>
            </w:r>
            <w:bookmarkStart w:id="0" w:name="_GoBack"/>
            <w:bookmarkEnd w:id="0"/>
          </w:p>
        </w:tc>
      </w:tr>
    </w:tbl>
    <w:p/>
    <w:sectPr>
      <w:pgSz w:w="11906" w:h="16838"/>
      <w:pgMar w:top="1134"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5DB1"/>
    <w:rsid w:val="00006749"/>
    <w:rsid w:val="000276AC"/>
    <w:rsid w:val="000477E0"/>
    <w:rsid w:val="000507DD"/>
    <w:rsid w:val="00052267"/>
    <w:rsid w:val="00061E62"/>
    <w:rsid w:val="00064718"/>
    <w:rsid w:val="0006778C"/>
    <w:rsid w:val="0007444F"/>
    <w:rsid w:val="00095243"/>
    <w:rsid w:val="000A3EEE"/>
    <w:rsid w:val="000B17BF"/>
    <w:rsid w:val="000B4817"/>
    <w:rsid w:val="000D1883"/>
    <w:rsid w:val="0015563A"/>
    <w:rsid w:val="00165401"/>
    <w:rsid w:val="001739C1"/>
    <w:rsid w:val="001748B6"/>
    <w:rsid w:val="00176C4D"/>
    <w:rsid w:val="001B3FC4"/>
    <w:rsid w:val="001D68BD"/>
    <w:rsid w:val="001F1ACD"/>
    <w:rsid w:val="00202CF4"/>
    <w:rsid w:val="00242815"/>
    <w:rsid w:val="00244A64"/>
    <w:rsid w:val="00252F0B"/>
    <w:rsid w:val="00283839"/>
    <w:rsid w:val="002870E5"/>
    <w:rsid w:val="0029585C"/>
    <w:rsid w:val="002B71BD"/>
    <w:rsid w:val="002C1E63"/>
    <w:rsid w:val="00324061"/>
    <w:rsid w:val="00332D74"/>
    <w:rsid w:val="003462CE"/>
    <w:rsid w:val="0035009F"/>
    <w:rsid w:val="00351908"/>
    <w:rsid w:val="0039162E"/>
    <w:rsid w:val="003C0B04"/>
    <w:rsid w:val="00427948"/>
    <w:rsid w:val="004563A9"/>
    <w:rsid w:val="004743C3"/>
    <w:rsid w:val="00495FA9"/>
    <w:rsid w:val="004B3CC8"/>
    <w:rsid w:val="004C3655"/>
    <w:rsid w:val="004C63C0"/>
    <w:rsid w:val="004E3033"/>
    <w:rsid w:val="004E52F2"/>
    <w:rsid w:val="004E5763"/>
    <w:rsid w:val="004F3C28"/>
    <w:rsid w:val="00567757"/>
    <w:rsid w:val="00587AE0"/>
    <w:rsid w:val="005A79F5"/>
    <w:rsid w:val="005B07C4"/>
    <w:rsid w:val="005B4A5B"/>
    <w:rsid w:val="005B4E8E"/>
    <w:rsid w:val="005B6A63"/>
    <w:rsid w:val="005E132B"/>
    <w:rsid w:val="005E6F74"/>
    <w:rsid w:val="0063549C"/>
    <w:rsid w:val="006A3EF0"/>
    <w:rsid w:val="006C0D0D"/>
    <w:rsid w:val="006F795B"/>
    <w:rsid w:val="007042AC"/>
    <w:rsid w:val="00730ABA"/>
    <w:rsid w:val="007628CC"/>
    <w:rsid w:val="00784EA7"/>
    <w:rsid w:val="00785F8C"/>
    <w:rsid w:val="007938AE"/>
    <w:rsid w:val="007B67C4"/>
    <w:rsid w:val="007C43F5"/>
    <w:rsid w:val="007D381E"/>
    <w:rsid w:val="007D48BD"/>
    <w:rsid w:val="00822F83"/>
    <w:rsid w:val="00840338"/>
    <w:rsid w:val="00846561"/>
    <w:rsid w:val="00860497"/>
    <w:rsid w:val="00875DB1"/>
    <w:rsid w:val="0087650C"/>
    <w:rsid w:val="00897A42"/>
    <w:rsid w:val="008D3EB0"/>
    <w:rsid w:val="008E5559"/>
    <w:rsid w:val="00903D73"/>
    <w:rsid w:val="009064DE"/>
    <w:rsid w:val="0091229E"/>
    <w:rsid w:val="0097783D"/>
    <w:rsid w:val="00977F31"/>
    <w:rsid w:val="009A52C6"/>
    <w:rsid w:val="009B1D13"/>
    <w:rsid w:val="009B2923"/>
    <w:rsid w:val="00A127DC"/>
    <w:rsid w:val="00A2331C"/>
    <w:rsid w:val="00A36D78"/>
    <w:rsid w:val="00A60369"/>
    <w:rsid w:val="00A65186"/>
    <w:rsid w:val="00A76FF1"/>
    <w:rsid w:val="00A772FD"/>
    <w:rsid w:val="00AF1317"/>
    <w:rsid w:val="00B165CE"/>
    <w:rsid w:val="00B22615"/>
    <w:rsid w:val="00B55B5C"/>
    <w:rsid w:val="00B70F2E"/>
    <w:rsid w:val="00B85B03"/>
    <w:rsid w:val="00BC3F9F"/>
    <w:rsid w:val="00BE6557"/>
    <w:rsid w:val="00BF1565"/>
    <w:rsid w:val="00BF2109"/>
    <w:rsid w:val="00BF3E32"/>
    <w:rsid w:val="00BF7009"/>
    <w:rsid w:val="00C13B08"/>
    <w:rsid w:val="00C20A46"/>
    <w:rsid w:val="00C33261"/>
    <w:rsid w:val="00C42F43"/>
    <w:rsid w:val="00C51E55"/>
    <w:rsid w:val="00C80724"/>
    <w:rsid w:val="00C9741C"/>
    <w:rsid w:val="00CB34C1"/>
    <w:rsid w:val="00CE2506"/>
    <w:rsid w:val="00CF511A"/>
    <w:rsid w:val="00D213E5"/>
    <w:rsid w:val="00D3720C"/>
    <w:rsid w:val="00D53983"/>
    <w:rsid w:val="00D83457"/>
    <w:rsid w:val="00D95800"/>
    <w:rsid w:val="00DA7218"/>
    <w:rsid w:val="00DB75D0"/>
    <w:rsid w:val="00DC0ABC"/>
    <w:rsid w:val="00E04F51"/>
    <w:rsid w:val="00E1337B"/>
    <w:rsid w:val="00E2646A"/>
    <w:rsid w:val="00E31942"/>
    <w:rsid w:val="00EA05B2"/>
    <w:rsid w:val="00EA50CF"/>
    <w:rsid w:val="00EA780C"/>
    <w:rsid w:val="00F32607"/>
    <w:rsid w:val="00F327F2"/>
    <w:rsid w:val="00F34B8B"/>
    <w:rsid w:val="00F35584"/>
    <w:rsid w:val="00F47632"/>
    <w:rsid w:val="00F656F1"/>
    <w:rsid w:val="00F862E2"/>
    <w:rsid w:val="00FC1B76"/>
    <w:rsid w:val="00FC1E76"/>
    <w:rsid w:val="00FD0D75"/>
    <w:rsid w:val="00FD1BB0"/>
    <w:rsid w:val="00FE3031"/>
    <w:rsid w:val="090573DB"/>
    <w:rsid w:val="0A813431"/>
    <w:rsid w:val="0B075F0E"/>
    <w:rsid w:val="0C490077"/>
    <w:rsid w:val="0E673CAF"/>
    <w:rsid w:val="16AB1AFF"/>
    <w:rsid w:val="17412143"/>
    <w:rsid w:val="199B2304"/>
    <w:rsid w:val="1BCE7421"/>
    <w:rsid w:val="1C704C79"/>
    <w:rsid w:val="26C17DF5"/>
    <w:rsid w:val="2780578B"/>
    <w:rsid w:val="27DB234C"/>
    <w:rsid w:val="280E2C87"/>
    <w:rsid w:val="281515AD"/>
    <w:rsid w:val="303963A6"/>
    <w:rsid w:val="347C2D77"/>
    <w:rsid w:val="3C31053F"/>
    <w:rsid w:val="3DCA02BD"/>
    <w:rsid w:val="40801F52"/>
    <w:rsid w:val="42927BA5"/>
    <w:rsid w:val="45B17F69"/>
    <w:rsid w:val="4A0F498D"/>
    <w:rsid w:val="4F942B60"/>
    <w:rsid w:val="512660B5"/>
    <w:rsid w:val="515C59D5"/>
    <w:rsid w:val="54F476EE"/>
    <w:rsid w:val="57AC14E6"/>
    <w:rsid w:val="5A4D0BA8"/>
    <w:rsid w:val="5AC36E20"/>
    <w:rsid w:val="63674017"/>
    <w:rsid w:val="65062713"/>
    <w:rsid w:val="65F56152"/>
    <w:rsid w:val="67302657"/>
    <w:rsid w:val="67C70731"/>
    <w:rsid w:val="6A5E280F"/>
    <w:rsid w:val="76541FDE"/>
    <w:rsid w:val="78750511"/>
    <w:rsid w:val="7951762E"/>
    <w:rsid w:val="7B3A7C64"/>
    <w:rsid w:val="7BAD72FF"/>
    <w:rsid w:val="7CB57FF6"/>
    <w:rsid w:val="7DA16B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napToGrid w:val="0"/>
      <w:outlineLvl w:val="0"/>
    </w:pPr>
    <w:rPr>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style>
  <w:style w:type="paragraph" w:styleId="4">
    <w:name w:val="Balloon Text"/>
    <w:basedOn w:val="1"/>
    <w:link w:val="14"/>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apple-converted-space"/>
    <w:qFormat/>
    <w:uiPriority w:val="99"/>
    <w:rPr>
      <w:rFonts w:cs="Times New Roman"/>
    </w:rPr>
  </w:style>
  <w:style w:type="paragraph" w:customStyle="1" w:styleId="10">
    <w:name w:val="Char Char8 Char"/>
    <w:basedOn w:val="1"/>
    <w:qFormat/>
    <w:uiPriority w:val="99"/>
    <w:pPr>
      <w:widowControl/>
      <w:spacing w:after="160" w:line="240" w:lineRule="exact"/>
      <w:jc w:val="left"/>
    </w:pPr>
    <w:rPr>
      <w:szCs w:val="20"/>
    </w:rPr>
  </w:style>
  <w:style w:type="paragraph" w:customStyle="1" w:styleId="11">
    <w:name w:val="3btt"/>
    <w:basedOn w:val="1"/>
    <w:qFormat/>
    <w:uiPriority w:val="99"/>
    <w:pPr>
      <w:adjustRightInd w:val="0"/>
      <w:snapToGrid w:val="0"/>
      <w:spacing w:beforeLines="50" w:afterLines="50"/>
      <w:jc w:val="left"/>
      <w:outlineLvl w:val="2"/>
    </w:pPr>
    <w:rPr>
      <w:rFonts w:eastAsia="黑体"/>
      <w:bCs/>
      <w:sz w:val="24"/>
    </w:rPr>
  </w:style>
  <w:style w:type="paragraph" w:customStyle="1" w:styleId="12">
    <w:name w:val="4bt"/>
    <w:basedOn w:val="1"/>
    <w:qFormat/>
    <w:uiPriority w:val="0"/>
    <w:pPr>
      <w:spacing w:line="360" w:lineRule="auto"/>
    </w:pPr>
    <w:rPr>
      <w:rFonts w:eastAsia="黑体"/>
      <w:color w:val="000000"/>
      <w:sz w:val="24"/>
    </w:rPr>
  </w:style>
  <w:style w:type="paragraph" w:customStyle="1" w:styleId="13">
    <w:name w:val="1"/>
    <w:basedOn w:val="1"/>
    <w:qFormat/>
    <w:uiPriority w:val="99"/>
    <w:rPr>
      <w:rFonts w:ascii="Arial" w:hAnsi="Arial" w:cs="Arial"/>
      <w:sz w:val="20"/>
      <w:szCs w:val="20"/>
    </w:rPr>
  </w:style>
  <w:style w:type="character" w:customStyle="1" w:styleId="14">
    <w:name w:val="批注框文本 Char"/>
    <w:link w:val="4"/>
    <w:semiHidden/>
    <w:qFormat/>
    <w:locked/>
    <w:uiPriority w:val="99"/>
    <w:rPr>
      <w:rFonts w:cs="Times New Roman"/>
      <w:sz w:val="2"/>
    </w:rPr>
  </w:style>
  <w:style w:type="paragraph" w:customStyle="1" w:styleId="15">
    <w:name w:val="中文报告书样式"/>
    <w:basedOn w:val="1"/>
    <w:qFormat/>
    <w:uiPriority w:val="99"/>
    <w:pPr>
      <w:spacing w:line="480" w:lineRule="atLeast"/>
      <w:ind w:firstLine="482"/>
      <w:textAlignment w:val="baseline"/>
    </w:pPr>
    <w:rPr>
      <w:kern w:val="24"/>
      <w:sz w:val="24"/>
    </w:rPr>
  </w:style>
  <w:style w:type="paragraph" w:customStyle="1" w:styleId="16">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
    <w:name w:val="zzzzz"/>
    <w:basedOn w:val="3"/>
    <w:qFormat/>
    <w:uiPriority w:val="99"/>
    <w:pPr>
      <w:spacing w:line="360" w:lineRule="auto"/>
      <w:ind w:firstLine="480" w:firstLineChars="200"/>
    </w:pPr>
    <w:rPr>
      <w:sz w:val="24"/>
    </w:rPr>
  </w:style>
  <w:style w:type="paragraph" w:customStyle="1" w:styleId="18">
    <w:name w:val="正"/>
    <w:basedOn w:val="1"/>
    <w:qFormat/>
    <w:uiPriority w:val="99"/>
    <w:pPr>
      <w:adjustRightInd w:val="0"/>
      <w:spacing w:line="360" w:lineRule="auto"/>
      <w:ind w:left="23" w:leftChars="11" w:firstLine="480" w:firstLineChars="200"/>
    </w:pPr>
    <w:rPr>
      <w:sz w:val="24"/>
    </w:rPr>
  </w:style>
  <w:style w:type="paragraph" w:customStyle="1" w:styleId="19">
    <w:name w:val="段落1"/>
    <w:basedOn w:val="1"/>
    <w:qFormat/>
    <w:uiPriority w:val="0"/>
    <w:pPr>
      <w:spacing w:line="480" w:lineRule="exact"/>
      <w:ind w:firstLine="584" w:firstLineChars="200"/>
    </w:pPr>
    <w:rPr>
      <w:spacing w:val="6"/>
      <w:sz w:val="28"/>
    </w:rPr>
  </w:style>
  <w:style w:type="character" w:customStyle="1" w:styleId="20">
    <w:name w:val="页眉 Char"/>
    <w:link w:val="6"/>
    <w:qFormat/>
    <w:locked/>
    <w:uiPriority w:val="99"/>
    <w:rPr>
      <w:rFonts w:cs="Times New Roman"/>
      <w:kern w:val="2"/>
      <w:sz w:val="18"/>
      <w:szCs w:val="18"/>
    </w:rPr>
  </w:style>
  <w:style w:type="character" w:customStyle="1" w:styleId="21">
    <w:name w:val="页脚 Char"/>
    <w:link w:val="5"/>
    <w:qFormat/>
    <w:locked/>
    <w:uiPriority w:val="99"/>
    <w:rPr>
      <w:rFonts w:cs="Times New Roman"/>
      <w:kern w:val="2"/>
      <w:sz w:val="18"/>
      <w:szCs w:val="18"/>
    </w:rPr>
  </w:style>
  <w:style w:type="paragraph" w:customStyle="1" w:styleId="22">
    <w:name w:val="报告表正文格式"/>
    <w:basedOn w:val="1"/>
    <w:qFormat/>
    <w:uiPriority w:val="0"/>
    <w:pPr>
      <w:tabs>
        <w:tab w:val="center" w:pos="0"/>
      </w:tabs>
      <w:spacing w:line="520" w:lineRule="exact"/>
      <w:ind w:firstLine="640" w:firstLineChars="200"/>
    </w:pPr>
    <w:rPr>
      <w:sz w:val="24"/>
    </w:rPr>
  </w:style>
  <w:style w:type="paragraph" w:customStyle="1" w:styleId="23">
    <w:name w:val="Char Char1 Char"/>
    <w:basedOn w:val="1"/>
    <w:qFormat/>
    <w:uiPriority w:val="0"/>
    <w:pPr>
      <w:spacing w:line="360" w:lineRule="auto"/>
      <w:ind w:firstLine="200" w:firstLineChars="200"/>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227</Words>
  <Characters>1300</Characters>
  <Lines>10</Lines>
  <Paragraphs>3</Paragraphs>
  <TotalTime>3</TotalTime>
  <ScaleCrop>false</ScaleCrop>
  <LinksUpToDate>false</LinksUpToDate>
  <CharactersWithSpaces>1524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2019-09-29T01:20:00Z</dcterms:created>
  <dc:creator>User</dc:creator>
  <cp:lastModifiedBy>魯娜</cp:lastModifiedBy>
  <cp:lastPrinted>2020-03-24T05:22:00Z</cp:lastPrinted>
  <dcterms:modified xsi:type="dcterms:W3CDTF">2021-03-17T09:26:46Z</dcterms:modified>
  <dc:title>审批意见：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