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北关区</w:t>
      </w:r>
      <w:r>
        <w:rPr>
          <w:rFonts w:hint="eastAsia"/>
          <w:sz w:val="44"/>
          <w:szCs w:val="44"/>
          <w:lang w:val="en-US" w:eastAsia="zh-CN"/>
        </w:rPr>
        <w:t>建</w:t>
      </w:r>
      <w:r>
        <w:rPr>
          <w:rFonts w:hint="eastAsia"/>
          <w:color w:val="000000" w:themeColor="text1"/>
          <w:sz w:val="44"/>
          <w:szCs w:val="44"/>
          <w:lang w:eastAsia="zh-CN"/>
          <w14:textFill>
            <w14:solidFill>
              <w14:schemeClr w14:val="tx1"/>
            </w14:solidFill>
          </w14:textFill>
        </w:rPr>
        <w:t>立</w:t>
      </w:r>
      <w:r>
        <w:rPr>
          <w:rFonts w:hint="eastAsia"/>
          <w:sz w:val="44"/>
          <w:szCs w:val="44"/>
          <w:lang w:eastAsia="zh-CN"/>
        </w:rPr>
        <w:t>健全财政资金直达工作机制</w:t>
      </w:r>
    </w:p>
    <w:p>
      <w:pPr>
        <w:rPr>
          <w:rFonts w:hint="eastAsia"/>
          <w:lang w:eastAsia="zh-CN"/>
        </w:rPr>
      </w:pPr>
      <w:bookmarkStart w:id="0" w:name="_GoBack"/>
      <w:bookmarkEnd w:id="0"/>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按照上级财政部门要求，为进一步总结直达资金管理经验，优化流程，强化监控，加强预算管理监督，提高资金使用效率，我区加大力度，建立健全财政资金直达工作机制。</w:t>
      </w:r>
    </w:p>
    <w:p>
      <w:pPr>
        <w:numPr>
          <w:ilvl w:val="0"/>
          <w:numId w:val="1"/>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直达机制的主要成效和经验做法</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（一）政策制度方面。为贯彻落实中央、省关于建立特殊转移支付机制的决策部署，根据财政部《关于做好直达资金监控工作的通知》 (财办〔2020〕29号）和省财政厅《关于做好直达资金分配使用工作的通知》及安阳市《关于建立财政资金直达基层惠企利民工作机制的通知》有关要求，经研究，北关区财政局建立了财政资金直达基层惠企利民工作机制，成立财政资金直达基层惠企利民工作领导小组，领导小组下设工作专班，工作专班分设四个工作小组。</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（二）资金安排方面。</w:t>
      </w:r>
      <w:r>
        <w:rPr>
          <w:rFonts w:hint="eastAsia" w:ascii="仿宋_GB2312" w:eastAsia="仿宋_GB2312"/>
          <w:sz w:val="32"/>
          <w:szCs w:val="32"/>
        </w:rPr>
        <w:t>在不改变预算管理程序、资金分配主体的前提下，实现资金使用的“一竿子插到底”，有利于最大限度下沉财力，加快资金拨付进度，能够有效对冲今年以来受疫情冲击影响造成的基层财政收支矛盾，帮助基层兜实兜牢“三保”底线；</w:t>
      </w:r>
      <w:r>
        <w:rPr>
          <w:rFonts w:hint="eastAsia" w:ascii="仿宋_GB2312" w:eastAsia="仿宋_GB2312" w:cs="楷体_GB2312"/>
          <w:bCs/>
          <w:sz w:val="32"/>
          <w:szCs w:val="32"/>
        </w:rPr>
        <w:t>注重强化公共财政属性，坚持“三保”支出在财政支出中的优先顺序，以民生为要，切实保障基本民生、工资发放和机构运转，努力做到应保尽保。但</w:t>
      </w:r>
      <w:r>
        <w:rPr>
          <w:rFonts w:hint="eastAsia" w:ascii="仿宋_GB2312" w:eastAsia="仿宋_GB2312"/>
          <w:sz w:val="32"/>
          <w:szCs w:val="32"/>
        </w:rPr>
        <w:t>今年以来，突如其来的新冠肺炎疫情及减税降</w:t>
      </w:r>
      <w:r>
        <w:rPr>
          <w:rFonts w:hint="eastAsia" w:ascii="仿宋_GB2312" w:eastAsia="仿宋_GB2312"/>
          <w:sz w:val="32"/>
          <w:szCs w:val="32"/>
          <w:lang w:eastAsia="zh-CN"/>
        </w:rPr>
        <w:t>费</w:t>
      </w:r>
      <w:r>
        <w:rPr>
          <w:rFonts w:hint="eastAsia" w:ascii="仿宋_GB2312" w:eastAsia="仿宋_GB2312"/>
          <w:sz w:val="32"/>
          <w:szCs w:val="32"/>
        </w:rPr>
        <w:t>政策的影响，造成地方财政特别是基层财政</w:t>
      </w:r>
      <w:r>
        <w:rPr>
          <w:rFonts w:hint="eastAsia" w:ascii="仿宋_GB2312" w:eastAsia="仿宋_GB2312"/>
          <w:sz w:val="32"/>
          <w:szCs w:val="32"/>
          <w:lang w:eastAsia="zh-CN"/>
        </w:rPr>
        <w:t>收</w:t>
      </w:r>
      <w:r>
        <w:rPr>
          <w:rFonts w:hint="eastAsia" w:ascii="仿宋_GB2312" w:eastAsia="仿宋_GB2312"/>
          <w:sz w:val="32"/>
          <w:szCs w:val="32"/>
        </w:rPr>
        <w:t>入下降，带来支出缺口。由于直达资金现金不能一次到达，采取分批拨付。我区根据实际财力和预算单位实际情况均衡分配每一</w:t>
      </w:r>
      <w:r>
        <w:rPr>
          <w:rFonts w:hint="eastAsia" w:ascii="仿宋_GB2312" w:eastAsia="仿宋_GB2312"/>
          <w:sz w:val="32"/>
          <w:szCs w:val="32"/>
          <w:lang w:eastAsia="zh-CN"/>
        </w:rPr>
        <w:t>笔</w:t>
      </w:r>
      <w:r>
        <w:rPr>
          <w:rFonts w:hint="eastAsia" w:ascii="仿宋_GB2312" w:eastAsia="仿宋_GB2312"/>
          <w:sz w:val="32"/>
          <w:szCs w:val="32"/>
        </w:rPr>
        <w:t>直达资金。</w:t>
      </w:r>
      <w:r>
        <w:rPr>
          <w:rFonts w:hint="eastAsia" w:ascii="仿宋_GB2312" w:hAnsi="仿宋_GB2312" w:eastAsia="仿宋_GB2312" w:cs="仿宋_GB2312"/>
          <w:sz w:val="32"/>
          <w:szCs w:val="32"/>
          <w:lang w:val="en-US" w:eastAsia="zh-CN"/>
        </w:rPr>
        <w:t>截止9月11日</w:t>
      </w:r>
      <w:r>
        <w:rPr>
          <w:rFonts w:hint="eastAsia" w:ascii="仿宋_GB2312" w:eastAsia="仿宋_GB2312"/>
          <w:sz w:val="32"/>
          <w:szCs w:val="32"/>
          <w:lang w:eastAsia="zh-CN"/>
        </w:rPr>
        <w:t>直达资金调拨现金共计</w:t>
      </w:r>
      <w:r>
        <w:rPr>
          <w:rFonts w:hint="eastAsia" w:ascii="仿宋_GB2312" w:eastAsia="仿宋_GB2312"/>
          <w:sz w:val="32"/>
          <w:szCs w:val="32"/>
          <w:lang w:val="en-US" w:eastAsia="zh-CN"/>
        </w:rPr>
        <w:t>7829.92万元，</w:t>
      </w:r>
      <w:r>
        <w:rPr>
          <w:rFonts w:hint="eastAsia" w:ascii="仿宋_GB2312" w:hAnsi="仿宋_GB2312" w:eastAsia="仿宋_GB2312" w:cs="仿宋_GB2312"/>
          <w:sz w:val="32"/>
          <w:szCs w:val="32"/>
          <w:lang w:val="en-US" w:eastAsia="zh-CN"/>
        </w:rPr>
        <w:t>北关区直达资金系统台账上预算数16136.56万元，支出数10054.87万元，支出进度62.3%；参照直达资金预算数8459.77万元，支出数5929.29万元，支出进度70.1%。</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流程设计方面。预算股负责细化全区直达资金预算管理要求，做好预算分解下达工作，负责监控工作的督促协调。建立直达资金台账，细化软件相关业务需求。各相关业务科室把预算指标分配到业务单位，并对单位实际支付情况在直达监控系统中进行对接，完善相关直达资金资料。国库股负责直达资金监控工作，导入指标，支付、惠企利民补贴补助发放信息等相关信息，核实预警信息，及时发现处理问题，分析利用和对外提供监控系统数据、报告监控情况。监督股负责加强直达资金财政监督，发挥好监控系统作用，加强直达资金日常监管和重点监控，对违反规定的行为，依法依规严肃问责。</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监控监管方面。根据财政部《关于做好直达资金监控工作的通知》（财办〔2020〕29号）规定的财政部门内部职责分工，将直达资金指标信息，支付信息等相关资料及时导入直达资金监控系统。预算股根据上级直达资金下达情况及时分配至业务单位，保障直达资金监控系统上相关指标及时正确分解下达，负责监控各相关业务科室分配资金进度。国库股监管直达资金的支付情况，核实预警信息，及时发现处理问题，保障和监督直达资金的支付进度，报告监控情况。监督股加强直达资金财政监督，发挥好监控系统作用，对直达资金进行日常监管和重点监控，保障新增财政直达资金真正直达基层惠企利民。</w:t>
      </w:r>
    </w:p>
    <w:p>
      <w:pPr>
        <w:numPr>
          <w:ilvl w:val="0"/>
          <w:numId w:val="1"/>
        </w:num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直达机制运行中存在的困难、问题和原因分析</w:t>
      </w:r>
    </w:p>
    <w:p>
      <w:pPr>
        <w:widowControl w:val="0"/>
        <w:numPr>
          <w:ilvl w:val="0"/>
          <w:numId w:val="0"/>
        </w:numPr>
        <w:ind w:firstLine="6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一是在直达资金监控平台导入过程中，存在着监控平台与预算执行系统指标信息对应不完善，指标和文号使用不规范，支付对接不智能等情况。二是</w:t>
      </w:r>
      <w:r>
        <w:rPr>
          <w:rFonts w:hint="eastAsia" w:ascii="仿宋_GB2312" w:hAnsi="仿宋_GB2312" w:eastAsia="仿宋_GB2312" w:cs="仿宋_GB2312"/>
          <w:sz w:val="32"/>
          <w:szCs w:val="32"/>
          <w:lang w:val="en-US" w:eastAsia="zh-CN"/>
        </w:rPr>
        <w:t>预算执行系统中涉及到负数冲回问题，因项目资金以前已经分配到单位且计划资金已使用完，无法冲回相关负数，新指标做为直达资金无法进一步处理，只能建立台账注明。三是在资金拨付方面，由于县区财力有限，只能根据现有财力和直达资金实际到账金额给予最大限额支付，但上级会按照实际下达的指标来衡量县区的支出率，资金到账率的不足会对支出进度产生一定的影响。另因实施单位的项目实施进度未达到支付节点，不能形成支出影响支出比例。</w:t>
      </w:r>
    </w:p>
    <w:p>
      <w:pPr>
        <w:numPr>
          <w:ilvl w:val="0"/>
          <w:numId w:val="1"/>
        </w:num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完善直达机制的意见建议和对策</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涉及新增财政直接惠企利民资金无明确用途的项目，上级能够给予相关的指导性意见。二是涉及处理以前指标已经分配且形成计划支付后再接收到负数指标应如何处理上给予相关操作指导。三是涉及财力性补助和新冠疫情结算补助资金置换以前已经提前分配下达的计划资金方面给予相关政策指导帮助。四是</w:t>
      </w:r>
      <w:r>
        <w:rPr>
          <w:rFonts w:hint="eastAsia" w:ascii="仿宋_GB2312" w:hAnsi="仿宋_GB2312" w:eastAsia="仿宋_GB2312" w:cs="仿宋_GB2312"/>
          <w:sz w:val="32"/>
          <w:szCs w:val="32"/>
          <w:lang w:val="en-US" w:eastAsia="zh-CN"/>
        </w:rPr>
        <w:t>希望上级能按照直达资金实际的到款率来衡量县区的支出率，</w:t>
      </w:r>
      <w:r>
        <w:rPr>
          <w:rFonts w:hint="eastAsia" w:ascii="仿宋_GB2312" w:hAnsi="仿宋_GB2312" w:eastAsia="仿宋_GB2312" w:cs="仿宋_GB2312"/>
          <w:sz w:val="32"/>
          <w:szCs w:val="32"/>
          <w:lang w:eastAsia="zh-CN"/>
        </w:rPr>
        <w:t>各地能按实收国库资金和项目单位支出节点合情合理安排相关支出。五是</w:t>
      </w:r>
      <w:r>
        <w:rPr>
          <w:rFonts w:hint="eastAsia" w:ascii="仿宋_GB2312" w:hAnsi="仿宋_GB2312" w:eastAsia="仿宋_GB2312" w:cs="仿宋_GB2312"/>
          <w:sz w:val="32"/>
          <w:szCs w:val="32"/>
          <w:lang w:val="en-US" w:eastAsia="zh-CN"/>
        </w:rPr>
        <w:t>充分使用大数据，让上下各级部门通过数据共享来查看、监管直达资金支出情况，减少工作量，从而提高工作效率。</w:t>
      </w:r>
    </w:p>
    <w:p>
      <w:pPr>
        <w:numPr>
          <w:ilvl w:val="0"/>
          <w:numId w:val="0"/>
        </w:numPr>
        <w:ind w:firstLine="640" w:firstLineChars="200"/>
        <w:rPr>
          <w:rFonts w:hint="eastAsia" w:ascii="仿宋_GB2312" w:hAnsi="仿宋_GB2312" w:eastAsia="仿宋_GB2312" w:cs="仿宋_GB2312"/>
          <w:sz w:val="32"/>
          <w:szCs w:val="32"/>
          <w:lang w:eastAsia="zh-CN"/>
        </w:rPr>
      </w:pPr>
    </w:p>
    <w:p>
      <w:pPr>
        <w:numPr>
          <w:ilvl w:val="0"/>
          <w:numId w:val="0"/>
        </w:numPr>
        <w:ind w:firstLine="4480" w:firstLineChars="1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2020年9月14日</w:t>
      </w:r>
    </w:p>
    <w:sectPr>
      <w:footerReference r:id="rId3" w:type="default"/>
      <w:pgSz w:w="11906" w:h="16838"/>
      <w:pgMar w:top="147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E5002EFF" w:usb1="C000605B" w:usb2="00000029" w:usb3="00000000" w:csb0="200101FF" w:csb1="20280000"/>
  </w:font>
  <w:font w:name="PMingLiU">
    <w:altName w:val="PMingLiU-ExtB"/>
    <w:panose1 w:val="02020500000000000000"/>
    <w:charset w:val="88"/>
    <w:family w:val="auto"/>
    <w:pitch w:val="default"/>
    <w:sig w:usb0="00000000" w:usb1="00000000"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crosoft Sans Serif">
    <w:panose1 w:val="020B0604020202020204"/>
    <w:charset w:val="01"/>
    <w:family w:val="swiss"/>
    <w:pitch w:val="default"/>
    <w:sig w:usb0="E5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61E6B"/>
    <w:multiLevelType w:val="singleLevel"/>
    <w:tmpl w:val="29361E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704"/>
    <w:rsid w:val="00940704"/>
    <w:rsid w:val="06A24E50"/>
    <w:rsid w:val="0773230E"/>
    <w:rsid w:val="0CBA4E48"/>
    <w:rsid w:val="1F313FB8"/>
    <w:rsid w:val="201E716E"/>
    <w:rsid w:val="215B0B13"/>
    <w:rsid w:val="21C65EF3"/>
    <w:rsid w:val="23A055F9"/>
    <w:rsid w:val="23C97EE8"/>
    <w:rsid w:val="28D031EE"/>
    <w:rsid w:val="2B346795"/>
    <w:rsid w:val="2CA75CD5"/>
    <w:rsid w:val="36086770"/>
    <w:rsid w:val="360E723C"/>
    <w:rsid w:val="3A7C146F"/>
    <w:rsid w:val="404C3EB7"/>
    <w:rsid w:val="4ABB7321"/>
    <w:rsid w:val="4D44770A"/>
    <w:rsid w:val="5C153576"/>
    <w:rsid w:val="72333904"/>
    <w:rsid w:val="740E465E"/>
    <w:rsid w:val="7833626E"/>
    <w:rsid w:val="7EC10342"/>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2020-09-11T09:16:00Z</dcterms:created>
  <dc:creator>Administrator</dc:creator>
  <cp:lastModifiedBy>www</cp:lastModifiedBy>
  <cp:lastPrinted>2020-09-14T03:02:00Z</cp:lastPrinted>
  <dcterms:modified xsi:type="dcterms:W3CDTF">2021-04-15T09:11:38Z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